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F913A" w14:textId="06636E0C" w:rsidR="00697110" w:rsidRPr="00303088" w:rsidRDefault="00B72D06" w:rsidP="00303088">
      <w:pPr>
        <w:pStyle w:val="Title"/>
        <w:spacing w:line="276" w:lineRule="auto"/>
        <w:jc w:val="center"/>
        <w:rPr>
          <w:rFonts w:ascii="Arial" w:hAnsi="Arial" w:cs="Arial"/>
          <w:b/>
          <w:bCs/>
          <w:color w:val="008000"/>
          <w:sz w:val="36"/>
          <w:szCs w:val="36"/>
        </w:rPr>
      </w:pPr>
      <w:r w:rsidRPr="00303088">
        <w:rPr>
          <w:rFonts w:ascii="Arial" w:hAnsi="Arial" w:cs="Arial"/>
          <w:b/>
          <w:bCs/>
          <w:color w:val="008000"/>
          <w:sz w:val="36"/>
          <w:szCs w:val="36"/>
        </w:rPr>
        <w:t xml:space="preserve">Guernsey’s </w:t>
      </w:r>
      <w:r w:rsidR="00AA5869" w:rsidRPr="00303088">
        <w:rPr>
          <w:rFonts w:ascii="Arial" w:hAnsi="Arial" w:cs="Arial"/>
          <w:b/>
          <w:bCs/>
          <w:color w:val="008000"/>
          <w:sz w:val="36"/>
          <w:szCs w:val="36"/>
        </w:rPr>
        <w:t>p</w:t>
      </w:r>
      <w:r w:rsidR="003C60F0" w:rsidRPr="00303088">
        <w:rPr>
          <w:rFonts w:ascii="Arial" w:hAnsi="Arial" w:cs="Arial"/>
          <w:b/>
          <w:bCs/>
          <w:color w:val="008000"/>
          <w:sz w:val="36"/>
          <w:szCs w:val="36"/>
        </w:rPr>
        <w:t xml:space="preserve">roposed discrimination legislation: </w:t>
      </w:r>
    </w:p>
    <w:p w14:paraId="0832F51F" w14:textId="09C0061A" w:rsidR="003C60F0" w:rsidRPr="00303088" w:rsidRDefault="008248BC" w:rsidP="00303088">
      <w:pPr>
        <w:pStyle w:val="Title"/>
        <w:spacing w:line="276" w:lineRule="auto"/>
        <w:jc w:val="center"/>
        <w:rPr>
          <w:rFonts w:ascii="Arial" w:hAnsi="Arial" w:cs="Arial"/>
          <w:b/>
          <w:bCs/>
          <w:color w:val="008000"/>
          <w:sz w:val="36"/>
          <w:szCs w:val="36"/>
        </w:rPr>
      </w:pPr>
      <w:r w:rsidRPr="00303088">
        <w:rPr>
          <w:rFonts w:ascii="Arial" w:hAnsi="Arial" w:cs="Arial"/>
          <w:b/>
          <w:bCs/>
          <w:color w:val="008000"/>
          <w:sz w:val="36"/>
          <w:szCs w:val="36"/>
        </w:rPr>
        <w:t>i</w:t>
      </w:r>
      <w:r w:rsidR="00051158" w:rsidRPr="00303088">
        <w:rPr>
          <w:rFonts w:ascii="Arial" w:hAnsi="Arial" w:cs="Arial"/>
          <w:b/>
          <w:bCs/>
          <w:color w:val="008000"/>
          <w:sz w:val="36"/>
          <w:szCs w:val="36"/>
        </w:rPr>
        <w:t>s there a need for impact assessments?</w:t>
      </w:r>
    </w:p>
    <w:p w14:paraId="6D8AB528" w14:textId="261D0AC1" w:rsidR="006B63E2" w:rsidRDefault="006B63E2" w:rsidP="00303088">
      <w:pPr>
        <w:spacing w:before="240" w:line="276" w:lineRule="auto"/>
        <w:rPr>
          <w:b/>
          <w:bCs/>
          <w:color w:val="008000"/>
        </w:rPr>
      </w:pPr>
      <w:r>
        <w:rPr>
          <w:b/>
          <w:bCs/>
          <w:color w:val="008000"/>
        </w:rPr>
        <w:t>Main points</w:t>
      </w:r>
    </w:p>
    <w:p w14:paraId="111B325E" w14:textId="20560A2A" w:rsidR="004C561F" w:rsidRPr="004C561F" w:rsidRDefault="004C561F" w:rsidP="00007769">
      <w:pPr>
        <w:numPr>
          <w:ilvl w:val="0"/>
          <w:numId w:val="5"/>
        </w:numPr>
        <w:spacing w:before="240" w:after="0" w:line="276" w:lineRule="auto"/>
        <w:contextualSpacing/>
        <w:rPr>
          <w:rFonts w:eastAsia="Calibri"/>
          <w:b/>
          <w:bCs/>
        </w:rPr>
      </w:pPr>
      <w:bookmarkStart w:id="0" w:name="_Hlk45349230"/>
      <w:r w:rsidRPr="004C561F">
        <w:rPr>
          <w:rFonts w:eastAsia="Calibri"/>
          <w:b/>
          <w:bCs/>
        </w:rPr>
        <w:t>Busines</w:t>
      </w:r>
      <w:r>
        <w:rPr>
          <w:rFonts w:eastAsia="Calibri"/>
          <w:b/>
          <w:bCs/>
        </w:rPr>
        <w:t>s</w:t>
      </w:r>
      <w:r w:rsidRPr="004C561F">
        <w:rPr>
          <w:rFonts w:eastAsia="Calibri"/>
          <w:b/>
          <w:bCs/>
        </w:rPr>
        <w:t xml:space="preserve"> groups have signalled support for the current proposals</w:t>
      </w:r>
    </w:p>
    <w:p w14:paraId="5B680C93" w14:textId="1793E8C8" w:rsidR="004C561F" w:rsidRPr="004C561F" w:rsidRDefault="004C561F" w:rsidP="00007769">
      <w:pPr>
        <w:numPr>
          <w:ilvl w:val="0"/>
          <w:numId w:val="5"/>
        </w:numPr>
        <w:spacing w:before="240" w:after="0" w:line="276" w:lineRule="auto"/>
        <w:contextualSpacing/>
        <w:rPr>
          <w:rFonts w:eastAsia="Calibri"/>
          <w:b/>
          <w:bCs/>
        </w:rPr>
      </w:pPr>
      <w:r w:rsidRPr="004C561F">
        <w:rPr>
          <w:rFonts w:eastAsia="Calibri"/>
          <w:b/>
          <w:bCs/>
        </w:rPr>
        <w:t xml:space="preserve">Guernsey is committed to introducing discrimination legislation and the current proposals have been substantially </w:t>
      </w:r>
      <w:r>
        <w:rPr>
          <w:rFonts w:eastAsia="Calibri"/>
          <w:b/>
          <w:bCs/>
        </w:rPr>
        <w:t xml:space="preserve">amended </w:t>
      </w:r>
      <w:r w:rsidRPr="004C561F">
        <w:rPr>
          <w:rFonts w:eastAsia="Calibri"/>
          <w:b/>
          <w:bCs/>
        </w:rPr>
        <w:t>to reflect public consultation</w:t>
      </w:r>
    </w:p>
    <w:p w14:paraId="41B747BB" w14:textId="22C9F16D" w:rsidR="004C561F" w:rsidRPr="004C561F" w:rsidRDefault="004C561F" w:rsidP="00007769">
      <w:pPr>
        <w:numPr>
          <w:ilvl w:val="0"/>
          <w:numId w:val="5"/>
        </w:numPr>
        <w:spacing w:before="240" w:after="0" w:line="276" w:lineRule="auto"/>
        <w:contextualSpacing/>
        <w:rPr>
          <w:rFonts w:eastAsia="Calibri"/>
          <w:b/>
          <w:bCs/>
        </w:rPr>
      </w:pPr>
      <w:r w:rsidRPr="004C561F">
        <w:rPr>
          <w:rFonts w:eastAsia="Times New Roman"/>
          <w:b/>
          <w:bCs/>
        </w:rPr>
        <w:t>The impact on public sector finances is largely in the States’ control (Accessibility Plans). Additional assessment is not needed</w:t>
      </w:r>
    </w:p>
    <w:p w14:paraId="2F47B317" w14:textId="383FABE1" w:rsidR="004C561F" w:rsidRPr="004C561F" w:rsidRDefault="004C561F" w:rsidP="00007769">
      <w:pPr>
        <w:numPr>
          <w:ilvl w:val="0"/>
          <w:numId w:val="5"/>
        </w:numPr>
        <w:spacing w:before="240" w:after="0" w:line="276" w:lineRule="auto"/>
        <w:contextualSpacing/>
        <w:rPr>
          <w:rFonts w:eastAsia="Calibri"/>
          <w:b/>
          <w:bCs/>
        </w:rPr>
      </w:pPr>
      <w:r w:rsidRPr="004C561F">
        <w:rPr>
          <w:rFonts w:eastAsia="Calibri"/>
          <w:b/>
          <w:bCs/>
        </w:rPr>
        <w:t>The legislation will not place a disproportionate burden on any single business or organisation: no further assessment is needed</w:t>
      </w:r>
    </w:p>
    <w:p w14:paraId="6CAE513E" w14:textId="7DB1A2F0" w:rsidR="004C561F" w:rsidRPr="004C561F" w:rsidRDefault="004C561F" w:rsidP="00007769">
      <w:pPr>
        <w:numPr>
          <w:ilvl w:val="0"/>
          <w:numId w:val="5"/>
        </w:numPr>
        <w:spacing w:before="240" w:after="0" w:line="276" w:lineRule="auto"/>
        <w:contextualSpacing/>
        <w:rPr>
          <w:rFonts w:eastAsia="Calibri"/>
          <w:b/>
          <w:bCs/>
        </w:rPr>
      </w:pPr>
      <w:r w:rsidRPr="004C561F">
        <w:rPr>
          <w:rFonts w:eastAsia="Calibri"/>
          <w:b/>
          <w:bCs/>
        </w:rPr>
        <w:t>Comprehensive impact assessment would require consideration of the wider social and economic benefits, not just cost to business. Such assessments are likely to be costly, time consuming, and not value for taxpayer’s money</w:t>
      </w:r>
    </w:p>
    <w:p w14:paraId="766FBA32" w14:textId="72122CF9" w:rsidR="004C561F" w:rsidRPr="004C561F" w:rsidRDefault="004C561F" w:rsidP="00007769">
      <w:pPr>
        <w:numPr>
          <w:ilvl w:val="0"/>
          <w:numId w:val="5"/>
        </w:numPr>
        <w:spacing w:before="240" w:after="0" w:line="276" w:lineRule="auto"/>
        <w:contextualSpacing/>
        <w:rPr>
          <w:rFonts w:eastAsia="Calibri"/>
          <w:b/>
          <w:bCs/>
        </w:rPr>
      </w:pPr>
      <w:r w:rsidRPr="004C561F">
        <w:rPr>
          <w:rFonts w:eastAsia="Calibri"/>
          <w:b/>
          <w:bCs/>
        </w:rPr>
        <w:t>Impact assessments in the UK and elsewhere show enduring economic benefit from such legislation</w:t>
      </w:r>
    </w:p>
    <w:p w14:paraId="374707FA" w14:textId="4297E685" w:rsidR="004C561F" w:rsidRPr="004C561F" w:rsidRDefault="004C561F" w:rsidP="00007769">
      <w:pPr>
        <w:numPr>
          <w:ilvl w:val="0"/>
          <w:numId w:val="5"/>
        </w:numPr>
        <w:spacing w:before="240" w:after="0" w:line="276" w:lineRule="auto"/>
        <w:contextualSpacing/>
        <w:rPr>
          <w:rFonts w:eastAsia="Calibri"/>
          <w:b/>
          <w:bCs/>
        </w:rPr>
      </w:pPr>
      <w:r w:rsidRPr="004C561F">
        <w:rPr>
          <w:rFonts w:eastAsia="Calibri"/>
          <w:b/>
          <w:bCs/>
        </w:rPr>
        <w:t>Estimates of the costs of reasonable adjustments have been wildly exaggerated</w:t>
      </w:r>
    </w:p>
    <w:p w14:paraId="3B09C661" w14:textId="58734CCA" w:rsidR="004C561F" w:rsidRPr="004C561F" w:rsidRDefault="004C561F" w:rsidP="00007769">
      <w:pPr>
        <w:numPr>
          <w:ilvl w:val="0"/>
          <w:numId w:val="5"/>
        </w:numPr>
        <w:spacing w:before="240" w:after="0" w:line="276" w:lineRule="auto"/>
        <w:contextualSpacing/>
        <w:rPr>
          <w:rFonts w:eastAsia="Calibri"/>
          <w:b/>
          <w:bCs/>
        </w:rPr>
      </w:pPr>
      <w:r w:rsidRPr="004C561F">
        <w:rPr>
          <w:rFonts w:eastAsia="Calibri"/>
          <w:b/>
          <w:bCs/>
        </w:rPr>
        <w:t>The proposals are not “gold plated” and do not go further than required to meet international standards</w:t>
      </w:r>
      <w:bookmarkEnd w:id="0"/>
    </w:p>
    <w:p w14:paraId="5B589120" w14:textId="7D54A62E" w:rsidR="003C60F0" w:rsidRPr="00303088" w:rsidRDefault="008A794E" w:rsidP="00303088">
      <w:pPr>
        <w:spacing w:before="240" w:line="276" w:lineRule="auto"/>
        <w:rPr>
          <w:b/>
          <w:bCs/>
          <w:color w:val="008000"/>
        </w:rPr>
      </w:pPr>
      <w:r w:rsidRPr="00303088">
        <w:rPr>
          <w:b/>
          <w:bCs/>
          <w:color w:val="008000"/>
        </w:rPr>
        <w:t>Summary</w:t>
      </w:r>
    </w:p>
    <w:p w14:paraId="5A902F7F" w14:textId="65E8DEA9" w:rsidR="00E07922" w:rsidRPr="00E07922" w:rsidRDefault="003C60F0" w:rsidP="00E07922">
      <w:pPr>
        <w:spacing w:line="276" w:lineRule="auto"/>
      </w:pPr>
      <w:r w:rsidRPr="00303088">
        <w:t>The legislation</w:t>
      </w:r>
      <w:r w:rsidR="006405DF" w:rsidRPr="00303088">
        <w:t xml:space="preserve">, as proposed </w:t>
      </w:r>
      <w:r w:rsidR="00493E75" w:rsidRPr="00303088">
        <w:t>i</w:t>
      </w:r>
      <w:r w:rsidR="006405DF" w:rsidRPr="00303088">
        <w:t xml:space="preserve">n </w:t>
      </w:r>
      <w:r w:rsidR="00493E75" w:rsidRPr="00303088">
        <w:t>t</w:t>
      </w:r>
      <w:r w:rsidR="006405DF" w:rsidRPr="00303088">
        <w:t xml:space="preserve">he </w:t>
      </w:r>
      <w:r w:rsidR="008C4AE2" w:rsidRPr="00303088">
        <w:t>Committee</w:t>
      </w:r>
      <w:r w:rsidR="006405DF" w:rsidRPr="00303088">
        <w:t xml:space="preserve"> for Employment and Social Security’s </w:t>
      </w:r>
      <w:r w:rsidR="008C4AE2" w:rsidRPr="00303088">
        <w:t>Policy Letter</w:t>
      </w:r>
      <w:r w:rsidR="00CC14D9" w:rsidRPr="00303088">
        <w:t>,</w:t>
      </w:r>
      <w:r w:rsidR="008C4AE2" w:rsidRPr="00303088">
        <w:t xml:space="preserve"> </w:t>
      </w:r>
      <w:r w:rsidRPr="00303088">
        <w:t xml:space="preserve">has been developed </w:t>
      </w:r>
      <w:r w:rsidR="005B3A9E" w:rsidRPr="00303088">
        <w:t xml:space="preserve">with the intention of </w:t>
      </w:r>
      <w:r w:rsidR="00D7478C" w:rsidRPr="00303088">
        <w:t>preventing discrimination</w:t>
      </w:r>
      <w:r w:rsidR="00323315" w:rsidRPr="00303088">
        <w:t>.</w:t>
      </w:r>
      <w:r w:rsidR="00B55386" w:rsidRPr="00303088">
        <w:t xml:space="preserve"> The legislation should be compliant </w:t>
      </w:r>
      <w:r w:rsidR="00323315" w:rsidRPr="00303088">
        <w:t xml:space="preserve">with </w:t>
      </w:r>
      <w:r w:rsidR="00B55386" w:rsidRPr="00303088">
        <w:t xml:space="preserve">the </w:t>
      </w:r>
      <w:r w:rsidRPr="00303088">
        <w:t>principles of the Convention on the Rights of Persons with Disabilities</w:t>
      </w:r>
      <w:r w:rsidR="00F23AFA" w:rsidRPr="00303088">
        <w:t xml:space="preserve"> (CRPD)</w:t>
      </w:r>
      <w:r w:rsidRPr="00303088">
        <w:rPr>
          <w:rStyle w:val="FootnoteReference"/>
        </w:rPr>
        <w:footnoteReference w:id="1"/>
      </w:r>
      <w:r w:rsidR="00CF58F0" w:rsidRPr="00303088">
        <w:t xml:space="preserve"> </w:t>
      </w:r>
      <w:r w:rsidR="00B55386" w:rsidRPr="00303088">
        <w:t>-</w:t>
      </w:r>
      <w:r w:rsidR="00EA605A" w:rsidRPr="00303088">
        <w:t xml:space="preserve"> </w:t>
      </w:r>
      <w:r w:rsidR="00CF58F0" w:rsidRPr="00303088">
        <w:t>and other Conventions</w:t>
      </w:r>
      <w:r w:rsidR="00E07922" w:rsidRPr="00E07922">
        <w:t xml:space="preserve"> - since the European Court of Human Rights treats these principles as the international benchmark on disability rights. </w:t>
      </w:r>
    </w:p>
    <w:p w14:paraId="1C1BAD6C" w14:textId="4D6D590D" w:rsidR="003C60F0" w:rsidRPr="00303088" w:rsidRDefault="005F1312" w:rsidP="00303088">
      <w:pPr>
        <w:spacing w:line="276" w:lineRule="auto"/>
      </w:pPr>
      <w:r w:rsidRPr="00303088">
        <w:t>In the GDA’s opinion</w:t>
      </w:r>
      <w:r w:rsidR="00784E9B" w:rsidRPr="00303088">
        <w:t xml:space="preserve">, </w:t>
      </w:r>
      <w:r w:rsidR="00DD5537" w:rsidRPr="00303088">
        <w:t xml:space="preserve">in no respect do the proposals go further than required by </w:t>
      </w:r>
      <w:bookmarkStart w:id="1" w:name="_Hlk44155424"/>
      <w:r w:rsidR="00CC14D9" w:rsidRPr="00303088">
        <w:t>CRPD (not “gold plated”).</w:t>
      </w:r>
      <w:r w:rsidR="000917D4" w:rsidRPr="00303088">
        <w:t xml:space="preserve"> I</w:t>
      </w:r>
      <w:r w:rsidR="00AA5869" w:rsidRPr="00303088">
        <w:t xml:space="preserve">n </w:t>
      </w:r>
      <w:r w:rsidR="00CA2846" w:rsidRPr="00303088">
        <w:t xml:space="preserve">some </w:t>
      </w:r>
      <w:r w:rsidR="005404DA" w:rsidRPr="00303088">
        <w:t>respects,</w:t>
      </w:r>
      <w:r w:rsidR="00CA2846" w:rsidRPr="00303088">
        <w:t xml:space="preserve"> </w:t>
      </w:r>
      <w:r w:rsidR="005404DA" w:rsidRPr="00303088">
        <w:t>the required standards are not fully met</w:t>
      </w:r>
      <w:r w:rsidR="00AA5869" w:rsidRPr="00303088">
        <w:rPr>
          <w:vertAlign w:val="superscript"/>
        </w:rPr>
        <w:footnoteReference w:id="2"/>
      </w:r>
      <w:bookmarkEnd w:id="1"/>
      <w:r w:rsidR="00AA5869" w:rsidRPr="00303088">
        <w:t xml:space="preserve"> </w:t>
      </w:r>
    </w:p>
    <w:p w14:paraId="105A0BF8" w14:textId="77777777" w:rsidR="00303088" w:rsidRDefault="004E7C83" w:rsidP="00303088">
      <w:pPr>
        <w:spacing w:after="120" w:line="276" w:lineRule="auto"/>
      </w:pPr>
      <w:r w:rsidRPr="00303088">
        <w:t xml:space="preserve">Calls for impact assessments have probably resulted from a misunderstanding of the duties which will be </w:t>
      </w:r>
      <w:r w:rsidR="006F242C" w:rsidRPr="00303088">
        <w:t>introduced</w:t>
      </w:r>
      <w:r w:rsidRPr="00303088">
        <w:t xml:space="preserve"> </w:t>
      </w:r>
      <w:r w:rsidR="007024AD" w:rsidRPr="00303088">
        <w:t xml:space="preserve">by the legislation </w:t>
      </w:r>
      <w:r w:rsidR="00572290" w:rsidRPr="00303088">
        <w:t>in relation to</w:t>
      </w:r>
      <w:r w:rsidR="003B29C4" w:rsidRPr="00303088">
        <w:t>,</w:t>
      </w:r>
      <w:r w:rsidR="00572290" w:rsidRPr="00303088">
        <w:t xml:space="preserve"> </w:t>
      </w:r>
    </w:p>
    <w:p w14:paraId="681C2781" w14:textId="51145F90" w:rsidR="00303088" w:rsidRDefault="00E1040D" w:rsidP="00D00CB5">
      <w:pPr>
        <w:spacing w:after="120" w:line="276" w:lineRule="auto"/>
        <w:ind w:left="284"/>
      </w:pPr>
      <w:r w:rsidRPr="00303088">
        <w:t>(</w:t>
      </w:r>
      <w:r w:rsidR="003C0AEF" w:rsidRPr="00303088">
        <w:t>1</w:t>
      </w:r>
      <w:r w:rsidRPr="00303088">
        <w:t>)</w:t>
      </w:r>
      <w:r w:rsidR="003C0AEF" w:rsidRPr="00303088">
        <w:t xml:space="preserve"> </w:t>
      </w:r>
      <w:r w:rsidR="00572290" w:rsidRPr="00303088">
        <w:t xml:space="preserve">accessibility </w:t>
      </w:r>
      <w:r w:rsidR="00E860C9" w:rsidRPr="00303088">
        <w:t>and</w:t>
      </w:r>
      <w:r w:rsidR="00FA24A2">
        <w:t>,</w:t>
      </w:r>
      <w:r w:rsidR="00572290" w:rsidRPr="00303088">
        <w:t xml:space="preserve"> </w:t>
      </w:r>
    </w:p>
    <w:p w14:paraId="36AF99D6" w14:textId="15A2F786" w:rsidR="00576417" w:rsidRPr="00303088" w:rsidRDefault="00E1040D" w:rsidP="00D00CB5">
      <w:pPr>
        <w:spacing w:after="120" w:line="276" w:lineRule="auto"/>
        <w:ind w:left="284"/>
      </w:pPr>
      <w:r w:rsidRPr="00303088">
        <w:lastRenderedPageBreak/>
        <w:t>(</w:t>
      </w:r>
      <w:r w:rsidR="003C0AEF" w:rsidRPr="00303088">
        <w:t>2</w:t>
      </w:r>
      <w:r w:rsidRPr="00303088">
        <w:t>)</w:t>
      </w:r>
      <w:r w:rsidR="003C0AEF" w:rsidRPr="00303088">
        <w:t xml:space="preserve"> </w:t>
      </w:r>
      <w:r w:rsidR="00572290" w:rsidRPr="00303088">
        <w:t>reasonable adjustments</w:t>
      </w:r>
      <w:r w:rsidR="00FA24A2">
        <w:t>,</w:t>
      </w:r>
      <w:r w:rsidR="00C974E5" w:rsidRPr="00303088">
        <w:t xml:space="preserve"> and from exaggerated estimates of costs relating to these duties. </w:t>
      </w:r>
      <w:r w:rsidR="00AE3EC5" w:rsidRPr="00303088">
        <w:t xml:space="preserve">Further concerns have been </w:t>
      </w:r>
      <w:r w:rsidR="00CC14D9" w:rsidRPr="00303088">
        <w:t>voiced</w:t>
      </w:r>
      <w:r w:rsidR="00AE3EC5" w:rsidRPr="00303088">
        <w:t xml:space="preserve"> about the cost of other aspects of compliance</w:t>
      </w:r>
      <w:r w:rsidR="00A511F0" w:rsidRPr="00303088">
        <w:t xml:space="preserve"> (</w:t>
      </w:r>
      <w:r w:rsidR="00E40385" w:rsidRPr="00303088">
        <w:t xml:space="preserve">e.g. cost </w:t>
      </w:r>
      <w:r w:rsidR="00576417" w:rsidRPr="00303088">
        <w:t xml:space="preserve">of </w:t>
      </w:r>
      <w:r w:rsidR="00A511F0" w:rsidRPr="00303088">
        <w:t>implementation, defending claims</w:t>
      </w:r>
      <w:r w:rsidR="00576417" w:rsidRPr="00303088">
        <w:t>, etc</w:t>
      </w:r>
      <w:r w:rsidR="00E40385" w:rsidRPr="00303088">
        <w:t>)</w:t>
      </w:r>
      <w:r w:rsidR="00576417" w:rsidRPr="00303088">
        <w:t xml:space="preserve">. </w:t>
      </w:r>
    </w:p>
    <w:p w14:paraId="6F723A7F" w14:textId="2A3F010B" w:rsidR="00D92E1C" w:rsidRPr="00303088" w:rsidRDefault="00CF58F0" w:rsidP="00303088">
      <w:pPr>
        <w:spacing w:line="276" w:lineRule="auto"/>
      </w:pPr>
      <w:r w:rsidRPr="00303088">
        <w:t>F</w:t>
      </w:r>
      <w:r w:rsidR="00A52EB8" w:rsidRPr="00303088">
        <w:t>or impact assessment</w:t>
      </w:r>
      <w:r w:rsidR="00CF166E" w:rsidRPr="00303088">
        <w:t>s</w:t>
      </w:r>
      <w:r w:rsidR="00A52EB8" w:rsidRPr="00303088">
        <w:t xml:space="preserve"> to be comprehensive, there would be a need to consider the wider </w:t>
      </w:r>
      <w:r w:rsidR="0019592A" w:rsidRPr="00303088">
        <w:t xml:space="preserve">intentions and effects </w:t>
      </w:r>
      <w:r w:rsidR="00A52EB8" w:rsidRPr="00303088">
        <w:t>of such legislation</w:t>
      </w:r>
      <w:r w:rsidR="00BA4B30" w:rsidRPr="00303088">
        <w:t>,</w:t>
      </w:r>
      <w:r w:rsidR="00A52EB8" w:rsidRPr="00303088">
        <w:t xml:space="preserve"> which include the social and economic benefits that </w:t>
      </w:r>
      <w:r w:rsidR="00D92E1C" w:rsidRPr="00303088">
        <w:t>are</w:t>
      </w:r>
      <w:r w:rsidR="00BA4B30" w:rsidRPr="00303088">
        <w:t xml:space="preserve"> intended to </w:t>
      </w:r>
      <w:r w:rsidR="00A52EB8" w:rsidRPr="00303088">
        <w:t xml:space="preserve">result from </w:t>
      </w:r>
      <w:r w:rsidR="00CF166E" w:rsidRPr="00303088">
        <w:t>the prevention of discrimination</w:t>
      </w:r>
      <w:r w:rsidR="00B44155" w:rsidRPr="00303088">
        <w:t xml:space="preserve">, including </w:t>
      </w:r>
      <w:r w:rsidR="00A52EB8" w:rsidRPr="00303088">
        <w:t>greater social cohesion</w:t>
      </w:r>
      <w:r w:rsidR="00B44155" w:rsidRPr="00303088">
        <w:t xml:space="preserve"> (</w:t>
      </w:r>
      <w:r w:rsidR="004A772B" w:rsidRPr="00303088">
        <w:t>#GuernseyTogether)</w:t>
      </w:r>
      <w:r w:rsidR="00A52EB8" w:rsidRPr="00303088">
        <w:t xml:space="preserve"> and greater participation and inclusion</w:t>
      </w:r>
      <w:r w:rsidR="00BA4B30" w:rsidRPr="00303088">
        <w:t xml:space="preserve">. </w:t>
      </w:r>
    </w:p>
    <w:p w14:paraId="48D23C74" w14:textId="5356027B" w:rsidR="00FA22E2" w:rsidRPr="00303088" w:rsidRDefault="00D10DAE" w:rsidP="00303088">
      <w:pPr>
        <w:spacing w:line="276" w:lineRule="auto"/>
        <w:rPr>
          <w:color w:val="222222"/>
          <w:shd w:val="clear" w:color="auto" w:fill="FFFFFF"/>
        </w:rPr>
      </w:pPr>
      <w:r w:rsidRPr="00303088">
        <w:t>Additionally,</w:t>
      </w:r>
      <w:r w:rsidR="00A52EB8" w:rsidRPr="00303088">
        <w:t xml:space="preserve"> </w:t>
      </w:r>
      <w:r w:rsidRPr="00303088">
        <w:t xml:space="preserve">it is necessary to consider </w:t>
      </w:r>
      <w:r w:rsidR="00A52EB8" w:rsidRPr="00303088">
        <w:t>Guernsey’s international standing and reputation as a modern and civilised democracy committed to</w:t>
      </w:r>
      <w:r w:rsidR="00CF117B" w:rsidRPr="00303088">
        <w:t xml:space="preserve"> complying</w:t>
      </w:r>
      <w:r w:rsidR="00B8025D" w:rsidRPr="00303088">
        <w:t xml:space="preserve"> </w:t>
      </w:r>
      <w:r w:rsidR="00494A37" w:rsidRPr="00303088">
        <w:t>with internationally</w:t>
      </w:r>
      <w:r w:rsidR="00A52EB8" w:rsidRPr="00303088">
        <w:t xml:space="preserve"> agreed standards</w:t>
      </w:r>
      <w:r w:rsidR="0019592A" w:rsidRPr="00303088">
        <w:t xml:space="preserve"> </w:t>
      </w:r>
      <w:r w:rsidR="004C3C96" w:rsidRPr="00303088">
        <w:t>(</w:t>
      </w:r>
      <w:r w:rsidR="0019592A" w:rsidRPr="00303088">
        <w:t>a</w:t>
      </w:r>
      <w:r w:rsidR="00CF117B" w:rsidRPr="00303088">
        <w:t xml:space="preserve">s well as </w:t>
      </w:r>
      <w:r w:rsidR="00FA22E2" w:rsidRPr="00303088">
        <w:t>recognising the</w:t>
      </w:r>
      <w:r w:rsidR="0019592A" w:rsidRPr="00303088">
        <w:t xml:space="preserve"> damage that could result from non-</w:t>
      </w:r>
      <w:r w:rsidR="002C6B34" w:rsidRPr="00303088">
        <w:t>compliance</w:t>
      </w:r>
      <w:r w:rsidR="004C3C96" w:rsidRPr="00303088">
        <w:t>)</w:t>
      </w:r>
      <w:r w:rsidR="0019592A" w:rsidRPr="00303088">
        <w:t>.</w:t>
      </w:r>
      <w:r w:rsidR="00AD5575" w:rsidRPr="00303088">
        <w:rPr>
          <w:color w:val="222222"/>
          <w:shd w:val="clear" w:color="auto" w:fill="FFFFFF"/>
        </w:rPr>
        <w:t xml:space="preserve"> </w:t>
      </w:r>
    </w:p>
    <w:p w14:paraId="05ABFA73" w14:textId="56B25DDB" w:rsidR="00B6601A" w:rsidRPr="00303088" w:rsidRDefault="00B6601A" w:rsidP="00303088">
      <w:pPr>
        <w:spacing w:line="276" w:lineRule="auto"/>
      </w:pPr>
      <w:r w:rsidRPr="00303088">
        <w:t xml:space="preserve">Such assessments are arguably </w:t>
      </w:r>
      <w:r w:rsidR="0097578A" w:rsidRPr="00303088">
        <w:t>not necessary (</w:t>
      </w:r>
      <w:r w:rsidR="00A7672A" w:rsidRPr="00303088">
        <w:t>progressively realisable rights, etc) and may indeed cost more to produce than</w:t>
      </w:r>
      <w:r w:rsidR="00312039" w:rsidRPr="00303088">
        <w:t xml:space="preserve"> can be justified</w:t>
      </w:r>
      <w:r w:rsidR="004C3C96" w:rsidRPr="00303088">
        <w:t xml:space="preserve"> as </w:t>
      </w:r>
      <w:r w:rsidR="004A772B" w:rsidRPr="00303088">
        <w:t xml:space="preserve">a </w:t>
      </w:r>
      <w:r w:rsidR="004C3C96" w:rsidRPr="00303088">
        <w:t xml:space="preserve">prudent application of </w:t>
      </w:r>
      <w:r w:rsidR="004A772B" w:rsidRPr="00303088">
        <w:t>taxpayer’s</w:t>
      </w:r>
      <w:r w:rsidR="004C3C96" w:rsidRPr="00303088">
        <w:t xml:space="preserve"> funds</w:t>
      </w:r>
      <w:r w:rsidR="00312039" w:rsidRPr="00303088">
        <w:t>.</w:t>
      </w:r>
    </w:p>
    <w:p w14:paraId="461C9222" w14:textId="66AAF888" w:rsidR="00303088" w:rsidRDefault="003C0AEF" w:rsidP="00303088">
      <w:pPr>
        <w:spacing w:line="276" w:lineRule="auto"/>
      </w:pPr>
      <w:r w:rsidRPr="00303088">
        <w:t>As example, a</w:t>
      </w:r>
      <w:r w:rsidR="008A794E" w:rsidRPr="00303088">
        <w:t xml:space="preserve">ssessments </w:t>
      </w:r>
      <w:r w:rsidR="006455E2" w:rsidRPr="00303088">
        <w:t xml:space="preserve">of the </w:t>
      </w:r>
      <w:r w:rsidR="00D8021C" w:rsidRPr="00303088">
        <w:t xml:space="preserve">impact of </w:t>
      </w:r>
      <w:r w:rsidR="00CC14D9" w:rsidRPr="00303088">
        <w:t xml:space="preserve">the </w:t>
      </w:r>
      <w:r w:rsidR="006455E2" w:rsidRPr="00303088">
        <w:t>UK Equality Bill</w:t>
      </w:r>
      <w:r w:rsidR="008A794E" w:rsidRPr="00303088">
        <w:rPr>
          <w:rStyle w:val="FootnoteReference"/>
        </w:rPr>
        <w:footnoteReference w:id="3"/>
      </w:r>
      <w:r w:rsidR="008A794E" w:rsidRPr="00303088">
        <w:t xml:space="preserve"> identified </w:t>
      </w:r>
      <w:r w:rsidR="004E7C83" w:rsidRPr="00303088">
        <w:t>that while there might be an overall cost to the UK economy in the first year of between £1</w:t>
      </w:r>
      <w:r w:rsidR="009B069A" w:rsidRPr="00303088">
        <w:t>45</w:t>
      </w:r>
      <w:r w:rsidR="004E7C83" w:rsidRPr="00303088">
        <w:t>m</w:t>
      </w:r>
      <w:r w:rsidR="00927948" w:rsidRPr="00303088">
        <w:t xml:space="preserve"> and £2</w:t>
      </w:r>
      <w:r w:rsidR="009B069A" w:rsidRPr="00303088">
        <w:t>17</w:t>
      </w:r>
      <w:r w:rsidR="00927948" w:rsidRPr="00303088">
        <w:t xml:space="preserve"> m</w:t>
      </w:r>
      <w:r w:rsidR="00F35C52" w:rsidRPr="00303088">
        <w:t xml:space="preserve">, </w:t>
      </w:r>
      <w:r w:rsidR="004E7C83" w:rsidRPr="00303088">
        <w:t xml:space="preserve">subsequent years would result in a net benefit of between £23m and £85m </w:t>
      </w:r>
      <w:r w:rsidR="0044436D" w:rsidRPr="00303088">
        <w:t xml:space="preserve">- </w:t>
      </w:r>
      <w:r w:rsidR="00F35C52" w:rsidRPr="00303088">
        <w:t>year on year</w:t>
      </w:r>
      <w:r w:rsidR="004E7C83" w:rsidRPr="00303088">
        <w:t xml:space="preserve">. </w:t>
      </w:r>
    </w:p>
    <w:p w14:paraId="5E63F061" w14:textId="77777777" w:rsidR="00007769" w:rsidRDefault="00007769" w:rsidP="00303088">
      <w:pPr>
        <w:spacing w:line="276" w:lineRule="auto"/>
        <w:rPr>
          <w:b/>
          <w:bCs/>
          <w:color w:val="008000"/>
        </w:rPr>
      </w:pPr>
    </w:p>
    <w:p w14:paraId="3E56E838" w14:textId="45AECFBA" w:rsidR="00AD37FA" w:rsidRPr="00303088" w:rsidRDefault="00D86865" w:rsidP="00303088">
      <w:pPr>
        <w:spacing w:line="276" w:lineRule="auto"/>
      </w:pPr>
      <w:r w:rsidRPr="00303088">
        <w:rPr>
          <w:b/>
          <w:bCs/>
          <w:color w:val="008000"/>
        </w:rPr>
        <w:t>Background</w:t>
      </w:r>
    </w:p>
    <w:p w14:paraId="03FE9544" w14:textId="667B9830" w:rsidR="004A772B" w:rsidRPr="00303088" w:rsidRDefault="00FC68EA" w:rsidP="00303088">
      <w:pPr>
        <w:spacing w:line="276" w:lineRule="auto"/>
      </w:pPr>
      <w:r w:rsidRPr="00303088">
        <w:t xml:space="preserve">The </w:t>
      </w:r>
      <w:r w:rsidR="00CD2392" w:rsidRPr="00303088">
        <w:t xml:space="preserve">consultation process, and subsequent comment </w:t>
      </w:r>
      <w:r w:rsidR="00780968" w:rsidRPr="00303088">
        <w:t>(</w:t>
      </w:r>
      <w:r w:rsidR="00CD2392" w:rsidRPr="00303088">
        <w:t>particularly from business groups</w:t>
      </w:r>
      <w:r w:rsidR="00780968" w:rsidRPr="00303088">
        <w:t>)</w:t>
      </w:r>
      <w:r w:rsidR="00EF3D67" w:rsidRPr="00303088">
        <w:t xml:space="preserve"> identified a perceived need for the States to carry out impact </w:t>
      </w:r>
      <w:r w:rsidR="006E552E" w:rsidRPr="00303088">
        <w:t>assessments</w:t>
      </w:r>
      <w:r w:rsidR="001C576C" w:rsidRPr="00303088">
        <w:t xml:space="preserve">. </w:t>
      </w:r>
    </w:p>
    <w:p w14:paraId="41667352" w14:textId="3D265E5B" w:rsidR="00F91678" w:rsidRPr="00303088" w:rsidRDefault="00D30888" w:rsidP="00303088">
      <w:pPr>
        <w:spacing w:line="276" w:lineRule="auto"/>
      </w:pPr>
      <w:r w:rsidRPr="00303088">
        <w:t xml:space="preserve">There will be costs associated with implementation </w:t>
      </w:r>
      <w:r w:rsidR="005B6A41" w:rsidRPr="00303088">
        <w:t xml:space="preserve">and compliance </w:t>
      </w:r>
      <w:r w:rsidR="00FD271D" w:rsidRPr="00303088">
        <w:t xml:space="preserve">however, </w:t>
      </w:r>
      <w:r w:rsidR="00F91678" w:rsidRPr="00303088">
        <w:t>some estimates of</w:t>
      </w:r>
      <w:r w:rsidR="001C576C" w:rsidRPr="00303088">
        <w:t xml:space="preserve"> costs have</w:t>
      </w:r>
      <w:r w:rsidR="005B6A41" w:rsidRPr="00303088">
        <w:t xml:space="preserve"> </w:t>
      </w:r>
      <w:r w:rsidR="001C576C" w:rsidRPr="00303088">
        <w:t xml:space="preserve">been </w:t>
      </w:r>
      <w:r w:rsidR="00D75140" w:rsidRPr="00303088">
        <w:t xml:space="preserve">wildly </w:t>
      </w:r>
      <w:r w:rsidR="006E552E" w:rsidRPr="00303088">
        <w:t>exaggerated</w:t>
      </w:r>
      <w:r w:rsidR="00F91678" w:rsidRPr="00303088">
        <w:t>.</w:t>
      </w:r>
    </w:p>
    <w:p w14:paraId="41620232" w14:textId="36E6E2BA" w:rsidR="003B29C4" w:rsidRPr="00303088" w:rsidRDefault="006E552E" w:rsidP="00303088">
      <w:pPr>
        <w:spacing w:line="276" w:lineRule="auto"/>
      </w:pPr>
      <w:r w:rsidRPr="00303088">
        <w:t>Discrimination</w:t>
      </w:r>
      <w:r w:rsidR="00D75140" w:rsidRPr="00303088">
        <w:t xml:space="preserve"> </w:t>
      </w:r>
      <w:r w:rsidR="003C326E" w:rsidRPr="00303088">
        <w:t>legislation is required by various international agreements and conventions to w</w:t>
      </w:r>
      <w:r w:rsidR="009B50E2" w:rsidRPr="00303088">
        <w:t xml:space="preserve">hich the States are already committed. </w:t>
      </w:r>
      <w:r w:rsidR="003A212C" w:rsidRPr="00303088">
        <w:t xml:space="preserve">The costs </w:t>
      </w:r>
      <w:r w:rsidR="001675AD" w:rsidRPr="00303088">
        <w:t>should</w:t>
      </w:r>
      <w:r w:rsidR="003A212C" w:rsidRPr="00303088">
        <w:t xml:space="preserve"> be viewed alongside the </w:t>
      </w:r>
      <w:r w:rsidR="00726B6C" w:rsidRPr="00303088">
        <w:t>intended and potential benefits to society</w:t>
      </w:r>
      <w:r w:rsidRPr="00303088">
        <w:t xml:space="preserve"> but, in any case, such assessments would not change either the need to introduce the legislation or the internationally agreed principles</w:t>
      </w:r>
      <w:r w:rsidR="002652EA" w:rsidRPr="00303088">
        <w:t xml:space="preserve"> </w:t>
      </w:r>
      <w:r w:rsidRPr="00303088">
        <w:t>such as progressive realisation and undue burden</w:t>
      </w:r>
      <w:r w:rsidR="00F0321A" w:rsidRPr="00303088">
        <w:t>.</w:t>
      </w:r>
      <w:r w:rsidRPr="00303088">
        <w:t xml:space="preserve"> that underpin th</w:t>
      </w:r>
      <w:r w:rsidR="00F0321A" w:rsidRPr="00303088">
        <w:t xml:space="preserve">ose </w:t>
      </w:r>
      <w:r w:rsidR="00BD5DA3" w:rsidRPr="00303088">
        <w:t>Conventions</w:t>
      </w:r>
      <w:r w:rsidRPr="00303088">
        <w:t>.</w:t>
      </w:r>
    </w:p>
    <w:p w14:paraId="0920061C" w14:textId="3B09A2F6" w:rsidR="009E1F6C" w:rsidRDefault="00FC68EA" w:rsidP="00303088">
      <w:pPr>
        <w:spacing w:line="276" w:lineRule="auto"/>
      </w:pPr>
      <w:r w:rsidRPr="00303088">
        <w:t>The</w:t>
      </w:r>
      <w:r w:rsidR="004F04BC" w:rsidRPr="00303088">
        <w:t xml:space="preserve"> following sections </w:t>
      </w:r>
      <w:r w:rsidR="00CD4D70" w:rsidRPr="00303088">
        <w:t xml:space="preserve">explain some of these </w:t>
      </w:r>
      <w:r w:rsidRPr="00303088">
        <w:t xml:space="preserve">fundamental principles, both with regard to </w:t>
      </w:r>
      <w:r w:rsidR="00CD4D70" w:rsidRPr="00303088">
        <w:t xml:space="preserve">how </w:t>
      </w:r>
      <w:r w:rsidRPr="00303088">
        <w:t>CRPD</w:t>
      </w:r>
      <w:r w:rsidR="00CD4D70" w:rsidRPr="00303088">
        <w:t xml:space="preserve"> explains the</w:t>
      </w:r>
      <w:r w:rsidR="002C48A2" w:rsidRPr="00303088">
        <w:t>ir effect</w:t>
      </w:r>
      <w:r w:rsidRPr="00303088">
        <w:t xml:space="preserve"> and with regard to how the proposed legislation either does or does not comply with these principles, which, if understood, should reduce </w:t>
      </w:r>
      <w:r w:rsidR="00BD5DA3" w:rsidRPr="00303088">
        <w:t xml:space="preserve">the concerns of those </w:t>
      </w:r>
      <w:r w:rsidR="00780968" w:rsidRPr="00303088">
        <w:t>calling</w:t>
      </w:r>
      <w:r w:rsidR="00BD5DA3" w:rsidRPr="00303088">
        <w:t xml:space="preserve"> for impact assessments.</w:t>
      </w:r>
    </w:p>
    <w:p w14:paraId="5CF3260D" w14:textId="77777777" w:rsidR="00007769" w:rsidRPr="00303088" w:rsidRDefault="00007769" w:rsidP="00303088">
      <w:pPr>
        <w:spacing w:line="276" w:lineRule="auto"/>
      </w:pPr>
    </w:p>
    <w:p w14:paraId="7BC9A093" w14:textId="0122163A" w:rsidR="00007769" w:rsidRDefault="00007769">
      <w:pPr>
        <w:rPr>
          <w:b/>
          <w:bCs/>
        </w:rPr>
      </w:pPr>
    </w:p>
    <w:p w14:paraId="57CB5EF4" w14:textId="7707A81F" w:rsidR="00C933F7" w:rsidRDefault="00C933F7" w:rsidP="00303088">
      <w:pPr>
        <w:pStyle w:val="ListParagraph"/>
        <w:numPr>
          <w:ilvl w:val="0"/>
          <w:numId w:val="2"/>
        </w:numPr>
        <w:spacing w:before="120" w:after="240" w:line="276" w:lineRule="auto"/>
        <w:ind w:left="0" w:hanging="357"/>
      </w:pPr>
      <w:r w:rsidRPr="00303088">
        <w:rPr>
          <w:b/>
          <w:bCs/>
        </w:rPr>
        <w:t>The duty to anticipate general accessibility</w:t>
      </w:r>
      <w:r w:rsidR="00DC03DB" w:rsidRPr="00303088">
        <w:rPr>
          <w:b/>
          <w:bCs/>
        </w:rPr>
        <w:t>, as exp</w:t>
      </w:r>
      <w:r w:rsidR="00E32B4B" w:rsidRPr="00303088">
        <w:rPr>
          <w:b/>
          <w:bCs/>
        </w:rPr>
        <w:t>lained by CRPD</w:t>
      </w:r>
      <w:r w:rsidRPr="00303088">
        <w:rPr>
          <w:b/>
          <w:bCs/>
        </w:rPr>
        <w:t>:</w:t>
      </w:r>
      <w:r w:rsidRPr="00303088">
        <w:t xml:space="preserve"> </w:t>
      </w:r>
    </w:p>
    <w:p w14:paraId="3CAB4407" w14:textId="77777777" w:rsidR="009E1F6C" w:rsidRPr="00303088" w:rsidRDefault="009E1F6C" w:rsidP="009E1F6C">
      <w:pPr>
        <w:pStyle w:val="ListParagraph"/>
        <w:spacing w:before="120" w:after="240" w:line="276" w:lineRule="auto"/>
        <w:ind w:left="0"/>
      </w:pPr>
    </w:p>
    <w:p w14:paraId="6AB846FC" w14:textId="19D16893" w:rsidR="00811EAB" w:rsidRPr="00303088" w:rsidRDefault="00713C0A" w:rsidP="00303088">
      <w:pPr>
        <w:pStyle w:val="ListParagraph"/>
        <w:spacing w:before="120" w:line="276" w:lineRule="auto"/>
        <w:ind w:left="0"/>
      </w:pPr>
      <w:r w:rsidRPr="00303088">
        <w:t>According to CRPD, t</w:t>
      </w:r>
      <w:r w:rsidR="00AD37FA" w:rsidRPr="00303088">
        <w:t xml:space="preserve">he general </w:t>
      </w:r>
      <w:r w:rsidR="00E90522" w:rsidRPr="00303088">
        <w:t>accessibility duty is a</w:t>
      </w:r>
      <w:r w:rsidR="005660EE" w:rsidRPr="00303088">
        <w:t>n anticipatory</w:t>
      </w:r>
      <w:r w:rsidR="00E90522" w:rsidRPr="00303088">
        <w:t xml:space="preserve"> duty owed to groups such as wheelchair users, persons with visual or auditory imp</w:t>
      </w:r>
      <w:r w:rsidR="00811EAB" w:rsidRPr="00303088">
        <w:t xml:space="preserve">airments or persons with learning difficulties. </w:t>
      </w:r>
      <w:r w:rsidR="008F0637" w:rsidRPr="00303088">
        <w:rPr>
          <w:rStyle w:val="FootnoteReference"/>
        </w:rPr>
        <w:footnoteReference w:id="4"/>
      </w:r>
    </w:p>
    <w:p w14:paraId="152FFCCE" w14:textId="77777777" w:rsidR="00811EAB" w:rsidRPr="00303088" w:rsidRDefault="00811EAB" w:rsidP="00303088">
      <w:pPr>
        <w:pStyle w:val="ListParagraph"/>
        <w:spacing w:line="276" w:lineRule="auto"/>
        <w:ind w:left="0"/>
        <w:rPr>
          <w:sz w:val="16"/>
          <w:szCs w:val="16"/>
        </w:rPr>
      </w:pPr>
    </w:p>
    <w:p w14:paraId="4ACEDE04" w14:textId="221B354F" w:rsidR="00AD37FA" w:rsidRPr="00303088" w:rsidRDefault="00C81194" w:rsidP="00303088">
      <w:pPr>
        <w:pStyle w:val="ListParagraph"/>
        <w:spacing w:line="276" w:lineRule="auto"/>
        <w:ind w:left="0"/>
      </w:pPr>
      <w:r w:rsidRPr="00303088">
        <w:t xml:space="preserve">The </w:t>
      </w:r>
      <w:r w:rsidR="00AD37FA" w:rsidRPr="00303088">
        <w:t>duty placed on the private sector to anticipate accessibility is not the same as the duty placed on the p</w:t>
      </w:r>
      <w:r w:rsidR="00713C0A" w:rsidRPr="00303088">
        <w:t>ublic</w:t>
      </w:r>
      <w:r w:rsidR="00AD37FA" w:rsidRPr="00303088">
        <w:t xml:space="preserve"> sector.</w:t>
      </w:r>
      <w:r w:rsidR="009919C6" w:rsidRPr="00303088">
        <w:rPr>
          <w:rStyle w:val="FootnoteReference"/>
        </w:rPr>
        <w:footnoteReference w:id="5"/>
      </w:r>
      <w:r w:rsidR="00AD37FA" w:rsidRPr="00303088">
        <w:t xml:space="preserve"> </w:t>
      </w:r>
      <w:r w:rsidR="002F5CDF" w:rsidRPr="00303088">
        <w:t>T</w:t>
      </w:r>
      <w:r w:rsidR="00AD37FA" w:rsidRPr="00303088">
        <w:t xml:space="preserve">he </w:t>
      </w:r>
      <w:r w:rsidR="00653204" w:rsidRPr="00303088">
        <w:t xml:space="preserve">CRPD </w:t>
      </w:r>
      <w:r w:rsidR="009552E0" w:rsidRPr="00303088">
        <w:t xml:space="preserve">explains that the </w:t>
      </w:r>
      <w:r w:rsidR="00AD37FA" w:rsidRPr="00303088">
        <w:t xml:space="preserve">duty to achieve </w:t>
      </w:r>
      <w:r w:rsidR="002F5CDF" w:rsidRPr="00303088">
        <w:t xml:space="preserve">general standards of </w:t>
      </w:r>
      <w:r w:rsidR="00AD37FA" w:rsidRPr="00303088">
        <w:t xml:space="preserve">accessibility in the public sector is an </w:t>
      </w:r>
      <w:r w:rsidR="00C31DA1" w:rsidRPr="00303088">
        <w:t>unconditional duty</w:t>
      </w:r>
      <w:r w:rsidR="002F5CDF" w:rsidRPr="00303088">
        <w:t xml:space="preserve"> which </w:t>
      </w:r>
      <w:r w:rsidR="00C31DA1" w:rsidRPr="00303088">
        <w:t xml:space="preserve">may be </w:t>
      </w:r>
      <w:r w:rsidR="00AD37FA" w:rsidRPr="00303088">
        <w:t xml:space="preserve">achievable over time. </w:t>
      </w:r>
      <w:r w:rsidR="00C933F7" w:rsidRPr="00303088">
        <w:t xml:space="preserve">The </w:t>
      </w:r>
      <w:r w:rsidR="00127953" w:rsidRPr="00303088">
        <w:t xml:space="preserve">accessibility duty </w:t>
      </w:r>
      <w:r w:rsidR="00B32B19" w:rsidRPr="00303088">
        <w:t>applicable to</w:t>
      </w:r>
      <w:r w:rsidR="00000252" w:rsidRPr="00303088">
        <w:t xml:space="preserve"> the public sector </w:t>
      </w:r>
      <w:r w:rsidR="00C933F7" w:rsidRPr="00303088">
        <w:t>is limited only by the overall resources available to government.</w:t>
      </w:r>
    </w:p>
    <w:p w14:paraId="0E0FEEF1" w14:textId="144E3EDD" w:rsidR="002919FB" w:rsidRPr="00303088" w:rsidRDefault="002919FB" w:rsidP="00303088">
      <w:pPr>
        <w:pStyle w:val="ListParagraph"/>
        <w:spacing w:line="276" w:lineRule="auto"/>
        <w:ind w:left="0"/>
        <w:rPr>
          <w:sz w:val="16"/>
          <w:szCs w:val="16"/>
        </w:rPr>
      </w:pPr>
    </w:p>
    <w:p w14:paraId="1DBDB259" w14:textId="5D5B7C4C" w:rsidR="00AD38DC" w:rsidRPr="00303088" w:rsidRDefault="002919FB" w:rsidP="00303088">
      <w:pPr>
        <w:pStyle w:val="ListParagraph"/>
        <w:spacing w:line="276" w:lineRule="auto"/>
        <w:ind w:left="0" w:right="-188"/>
      </w:pPr>
      <w:r w:rsidRPr="00303088">
        <w:t>The duty on the private sector</w:t>
      </w:r>
      <w:r w:rsidR="0072008F" w:rsidRPr="00303088">
        <w:t xml:space="preserve">, however, </w:t>
      </w:r>
      <w:r w:rsidRPr="00303088">
        <w:t>is not unconditional</w:t>
      </w:r>
      <w:r w:rsidR="00FA31E3" w:rsidRPr="00303088">
        <w:t xml:space="preserve">: </w:t>
      </w:r>
      <w:r w:rsidR="00982560" w:rsidRPr="00303088">
        <w:t xml:space="preserve">it is limited by the principle of undue burden </w:t>
      </w:r>
      <w:r w:rsidR="00AD38DC" w:rsidRPr="00303088">
        <w:t xml:space="preserve">and by any standards which may be </w:t>
      </w:r>
      <w:r w:rsidR="00B45F11">
        <w:t>applied and r</w:t>
      </w:r>
      <w:r w:rsidR="00AD38DC" w:rsidRPr="00303088">
        <w:t xml:space="preserve">egulated by government. </w:t>
      </w:r>
    </w:p>
    <w:p w14:paraId="6054DDA1" w14:textId="77777777" w:rsidR="00AD38DC" w:rsidRPr="00303088" w:rsidRDefault="00AD38DC" w:rsidP="00303088">
      <w:pPr>
        <w:pStyle w:val="ListParagraph"/>
        <w:spacing w:line="276" w:lineRule="auto"/>
        <w:ind w:left="0" w:right="-188"/>
        <w:rPr>
          <w:sz w:val="16"/>
          <w:szCs w:val="16"/>
        </w:rPr>
      </w:pPr>
    </w:p>
    <w:p w14:paraId="30E3247A" w14:textId="77777777" w:rsidR="0072008F" w:rsidRPr="00303088" w:rsidRDefault="00AA6AF7" w:rsidP="00303088">
      <w:pPr>
        <w:pStyle w:val="ListParagraph"/>
        <w:spacing w:line="276" w:lineRule="auto"/>
        <w:ind w:left="0" w:right="-188"/>
      </w:pPr>
      <w:r w:rsidRPr="00303088">
        <w:t xml:space="preserve">CRPD requires </w:t>
      </w:r>
      <w:r w:rsidR="002C48A2" w:rsidRPr="00303088">
        <w:t>g</w:t>
      </w:r>
      <w:r w:rsidR="00EB5A5B" w:rsidRPr="00303088">
        <w:t>overnments</w:t>
      </w:r>
      <w:r w:rsidR="00B503FC" w:rsidRPr="00303088">
        <w:t xml:space="preserve"> </w:t>
      </w:r>
      <w:r w:rsidR="00C66B74" w:rsidRPr="00303088">
        <w:t xml:space="preserve">to </w:t>
      </w:r>
      <w:r w:rsidR="00B568BE" w:rsidRPr="00303088">
        <w:t xml:space="preserve">actively promote accessibility </w:t>
      </w:r>
      <w:r w:rsidR="00497B42" w:rsidRPr="00303088">
        <w:t xml:space="preserve">and to provide </w:t>
      </w:r>
      <w:r w:rsidR="00EB5A5B" w:rsidRPr="00303088">
        <w:t>adequate guidance</w:t>
      </w:r>
      <w:r w:rsidR="00323B40" w:rsidRPr="00303088">
        <w:t xml:space="preserve"> </w:t>
      </w:r>
      <w:r w:rsidR="002B5BE8" w:rsidRPr="00303088">
        <w:t>about accessibility in general</w:t>
      </w:r>
      <w:r w:rsidR="008E3157" w:rsidRPr="00303088">
        <w:t>,</w:t>
      </w:r>
      <w:r w:rsidR="002B5BE8" w:rsidRPr="00303088">
        <w:t xml:space="preserve"> and about specific </w:t>
      </w:r>
      <w:r w:rsidR="008842A8" w:rsidRPr="00303088">
        <w:t>standards</w:t>
      </w:r>
      <w:r w:rsidR="002B5BE8" w:rsidRPr="00303088">
        <w:t xml:space="preserve"> that may exist. </w:t>
      </w:r>
    </w:p>
    <w:p w14:paraId="03FAB8D7" w14:textId="77777777" w:rsidR="0072008F" w:rsidRPr="00303088" w:rsidRDefault="0072008F" w:rsidP="00303088">
      <w:pPr>
        <w:pStyle w:val="ListParagraph"/>
        <w:spacing w:line="276" w:lineRule="auto"/>
        <w:ind w:left="0"/>
        <w:rPr>
          <w:sz w:val="16"/>
          <w:szCs w:val="16"/>
        </w:rPr>
      </w:pPr>
    </w:p>
    <w:p w14:paraId="56CFF64C" w14:textId="19BC63E7" w:rsidR="00303088" w:rsidRDefault="009C2554" w:rsidP="00303088">
      <w:pPr>
        <w:pStyle w:val="ListParagraph"/>
        <w:spacing w:line="276" w:lineRule="auto"/>
        <w:ind w:left="0" w:right="-188"/>
      </w:pPr>
      <w:r w:rsidRPr="00303088">
        <w:t xml:space="preserve">Furthermore, governments are required to monitor </w:t>
      </w:r>
      <w:r w:rsidR="008842A8" w:rsidRPr="00303088">
        <w:t>progress in improving accessibility</w:t>
      </w:r>
      <w:r w:rsidRPr="00303088">
        <w:t>.</w:t>
      </w:r>
      <w:r w:rsidR="00EB5A5B" w:rsidRPr="00303088">
        <w:t xml:space="preserve"> </w:t>
      </w:r>
      <w:r w:rsidR="002A4E8B" w:rsidRPr="00303088">
        <w:t xml:space="preserve">Once </w:t>
      </w:r>
      <w:r w:rsidR="00C068E3" w:rsidRPr="00303088">
        <w:t xml:space="preserve">the UK’s ratification of CRPD has been extended to Guernsey, a summary of </w:t>
      </w:r>
      <w:r w:rsidR="00737197" w:rsidRPr="00303088">
        <w:t xml:space="preserve">Guernsey’s progress would be included within </w:t>
      </w:r>
      <w:r w:rsidR="001360CA" w:rsidRPr="00303088">
        <w:t xml:space="preserve">the UK’s </w:t>
      </w:r>
      <w:r w:rsidR="00C903CA" w:rsidRPr="00303088">
        <w:t xml:space="preserve">four yearly reports the UN Committee for CRPD. </w:t>
      </w:r>
    </w:p>
    <w:p w14:paraId="6B5144CB" w14:textId="77777777" w:rsidR="00B45F11" w:rsidRPr="00303088" w:rsidRDefault="00B45F11" w:rsidP="00303088">
      <w:pPr>
        <w:pStyle w:val="ListParagraph"/>
        <w:spacing w:line="276" w:lineRule="auto"/>
        <w:ind w:left="0" w:right="-188"/>
      </w:pPr>
    </w:p>
    <w:p w14:paraId="3340FB78" w14:textId="7DCB6D53" w:rsidR="005C7659" w:rsidRPr="00303088" w:rsidRDefault="00D15683" w:rsidP="00303088">
      <w:pPr>
        <w:pStyle w:val="ListParagraph"/>
        <w:numPr>
          <w:ilvl w:val="0"/>
          <w:numId w:val="2"/>
        </w:numPr>
        <w:spacing w:before="120" w:after="240" w:line="276" w:lineRule="auto"/>
        <w:ind w:left="0" w:hanging="357"/>
        <w:contextualSpacing w:val="0"/>
        <w:rPr>
          <w:b/>
          <w:bCs/>
        </w:rPr>
      </w:pPr>
      <w:r w:rsidRPr="00303088">
        <w:rPr>
          <w:b/>
          <w:bCs/>
        </w:rPr>
        <w:t xml:space="preserve">The </w:t>
      </w:r>
      <w:r w:rsidR="003B3B47" w:rsidRPr="00303088">
        <w:rPr>
          <w:b/>
          <w:bCs/>
        </w:rPr>
        <w:t>Accessibility duty as currently proposed</w:t>
      </w:r>
    </w:p>
    <w:p w14:paraId="0168F45C" w14:textId="4F4C9341" w:rsidR="005C7659" w:rsidRPr="00303088" w:rsidRDefault="005C7659" w:rsidP="00303088">
      <w:pPr>
        <w:pStyle w:val="ListParagraph"/>
        <w:spacing w:line="276" w:lineRule="auto"/>
        <w:ind w:left="0"/>
      </w:pPr>
      <w:r w:rsidRPr="00303088">
        <w:t xml:space="preserve">The </w:t>
      </w:r>
      <w:r w:rsidR="00503A24" w:rsidRPr="00303088">
        <w:t>Policy Letter</w:t>
      </w:r>
      <w:r w:rsidRPr="00303088">
        <w:t xml:space="preserve"> do</w:t>
      </w:r>
      <w:r w:rsidR="00503A24" w:rsidRPr="00303088">
        <w:t>es</w:t>
      </w:r>
      <w:r w:rsidRPr="00303088">
        <w:t xml:space="preserve"> not </w:t>
      </w:r>
      <w:r w:rsidR="0009523D" w:rsidRPr="00303088">
        <w:t>contain an explicit accessibility duty</w:t>
      </w:r>
      <w:r w:rsidR="00097A4E" w:rsidRPr="00303088">
        <w:t xml:space="preserve">. Instead, this is implied </w:t>
      </w:r>
      <w:r w:rsidR="005A14C8" w:rsidRPr="00303088">
        <w:t xml:space="preserve">(and partially </w:t>
      </w:r>
      <w:r w:rsidR="006D21BF" w:rsidRPr="00303088">
        <w:t>applied</w:t>
      </w:r>
      <w:r w:rsidR="005A14C8" w:rsidRPr="00303088">
        <w:t xml:space="preserve">) </w:t>
      </w:r>
      <w:r w:rsidR="00097A4E" w:rsidRPr="00303088">
        <w:t xml:space="preserve">through a requirement </w:t>
      </w:r>
      <w:r w:rsidR="009E1214" w:rsidRPr="00303088">
        <w:t xml:space="preserve">for public sector </w:t>
      </w:r>
      <w:r w:rsidR="00B45F11">
        <w:t>entities</w:t>
      </w:r>
      <w:r w:rsidR="009E1214" w:rsidRPr="00303088">
        <w:t xml:space="preserve"> to </w:t>
      </w:r>
      <w:r w:rsidR="00653204" w:rsidRPr="00303088">
        <w:t>produce Accessibility Action Plans</w:t>
      </w:r>
      <w:r w:rsidR="00503A24" w:rsidRPr="00303088">
        <w:t xml:space="preserve"> </w:t>
      </w:r>
      <w:r w:rsidR="00AA319E" w:rsidRPr="00303088">
        <w:t>within five years of enactment</w:t>
      </w:r>
      <w:r w:rsidR="006D21BF" w:rsidRPr="00303088">
        <w:t>,</w:t>
      </w:r>
      <w:r w:rsidR="00642E41" w:rsidRPr="00303088">
        <w:t xml:space="preserve"> </w:t>
      </w:r>
      <w:r w:rsidR="00503A24" w:rsidRPr="00303088">
        <w:t xml:space="preserve">and by the </w:t>
      </w:r>
      <w:r w:rsidR="00F23288" w:rsidRPr="00303088">
        <w:t xml:space="preserve">provisions dealing with indirect </w:t>
      </w:r>
      <w:r w:rsidR="00AA319E" w:rsidRPr="00303088">
        <w:t>discrimination</w:t>
      </w:r>
      <w:r w:rsidR="00653204" w:rsidRPr="00303088">
        <w:t xml:space="preserve">. </w:t>
      </w:r>
    </w:p>
    <w:p w14:paraId="4E629FD1" w14:textId="3899E7F2" w:rsidR="00AC50F9" w:rsidRPr="00303088" w:rsidRDefault="00AC50F9" w:rsidP="00303088">
      <w:pPr>
        <w:pStyle w:val="ListParagraph"/>
        <w:spacing w:line="276" w:lineRule="auto"/>
        <w:ind w:left="0"/>
      </w:pPr>
    </w:p>
    <w:p w14:paraId="7038F1AC" w14:textId="4EF88263" w:rsidR="004B685C" w:rsidRPr="00303088" w:rsidRDefault="004B685C" w:rsidP="00303088">
      <w:pPr>
        <w:pStyle w:val="ListParagraph"/>
        <w:spacing w:line="276" w:lineRule="auto"/>
        <w:ind w:left="0"/>
      </w:pPr>
      <w:r w:rsidRPr="00303088">
        <w:t xml:space="preserve">During those five years, </w:t>
      </w:r>
      <w:r w:rsidR="003F4398" w:rsidRPr="00303088">
        <w:t xml:space="preserve">general accessibility in the public sector will be </w:t>
      </w:r>
      <w:r w:rsidR="00DF6EBD" w:rsidRPr="00303088">
        <w:t>open to challenge as a form of indirect discrimination</w:t>
      </w:r>
      <w:r w:rsidR="002652EA" w:rsidRPr="00303088">
        <w:t xml:space="preserve">. However, as </w:t>
      </w:r>
      <w:r w:rsidR="00DF6EBD" w:rsidRPr="00303088">
        <w:t>current</w:t>
      </w:r>
      <w:r w:rsidR="002652EA" w:rsidRPr="00303088">
        <w:t>ly</w:t>
      </w:r>
      <w:r w:rsidR="00DF6EBD" w:rsidRPr="00303088">
        <w:t xml:space="preserve"> </w:t>
      </w:r>
      <w:r w:rsidR="002652EA" w:rsidRPr="00303088">
        <w:t>proposed, claims of indirect discrimination involving changes to a physical feature of a building will</w:t>
      </w:r>
      <w:r w:rsidR="00257EAA" w:rsidRPr="00303088">
        <w:t xml:space="preserve"> not</w:t>
      </w:r>
      <w:r w:rsidR="00B344DA" w:rsidRPr="00303088">
        <w:t xml:space="preserve"> be </w:t>
      </w:r>
      <w:r w:rsidR="002652EA" w:rsidRPr="00303088">
        <w:t>allowed</w:t>
      </w:r>
      <w:r w:rsidR="00B344DA" w:rsidRPr="00303088">
        <w:t xml:space="preserve"> for </w:t>
      </w:r>
      <w:r w:rsidR="00465554" w:rsidRPr="00303088">
        <w:t>five</w:t>
      </w:r>
      <w:r w:rsidR="00B344DA" w:rsidRPr="00303088">
        <w:t xml:space="preserve"> years</w:t>
      </w:r>
      <w:r w:rsidR="00257EAA" w:rsidRPr="00303088">
        <w:t xml:space="preserve"> from enactment</w:t>
      </w:r>
      <w:r w:rsidR="00CB5221" w:rsidRPr="00303088">
        <w:t>.</w:t>
      </w:r>
      <w:r w:rsidR="00465554" w:rsidRPr="00303088">
        <w:t xml:space="preserve"> While it will be possible to challenge </w:t>
      </w:r>
      <w:r w:rsidR="00AE4F56" w:rsidRPr="00303088">
        <w:t xml:space="preserve">other </w:t>
      </w:r>
      <w:r w:rsidR="00A60333" w:rsidRPr="00303088">
        <w:t xml:space="preserve">matters of accessibility, </w:t>
      </w:r>
      <w:r w:rsidR="002652EA" w:rsidRPr="00303088">
        <w:t xml:space="preserve">all </w:t>
      </w:r>
      <w:r w:rsidR="00A60333" w:rsidRPr="00303088">
        <w:t xml:space="preserve">such claims </w:t>
      </w:r>
      <w:r w:rsidR="002652EA" w:rsidRPr="00303088">
        <w:t>may</w:t>
      </w:r>
      <w:r w:rsidR="00A60333" w:rsidRPr="00303088">
        <w:t xml:space="preserve"> be mitigated </w:t>
      </w:r>
      <w:r w:rsidR="007A6582" w:rsidRPr="00303088">
        <w:t xml:space="preserve">if the relevant public sector authority is able to show that </w:t>
      </w:r>
      <w:r w:rsidR="00CB5221" w:rsidRPr="00303088">
        <w:t xml:space="preserve">their </w:t>
      </w:r>
      <w:r w:rsidR="007A6582" w:rsidRPr="00303088">
        <w:t xml:space="preserve">plans </w:t>
      </w:r>
      <w:r w:rsidR="00A310C2" w:rsidRPr="00303088">
        <w:t xml:space="preserve">include </w:t>
      </w:r>
      <w:r w:rsidR="00932CEA" w:rsidRPr="00303088">
        <w:t xml:space="preserve">reasonable </w:t>
      </w:r>
      <w:r w:rsidR="009A4680" w:rsidRPr="00303088">
        <w:t>remov</w:t>
      </w:r>
      <w:r w:rsidR="00A310C2" w:rsidRPr="00303088">
        <w:t>al</w:t>
      </w:r>
      <w:r w:rsidR="00780968" w:rsidRPr="00303088">
        <w:t xml:space="preserve"> (at some future point)</w:t>
      </w:r>
      <w:r w:rsidR="00A310C2" w:rsidRPr="00303088">
        <w:t xml:space="preserve"> of </w:t>
      </w:r>
      <w:r w:rsidR="009A4680" w:rsidRPr="00303088">
        <w:t>the barrier</w:t>
      </w:r>
      <w:r w:rsidR="006616BC" w:rsidRPr="00303088">
        <w:t xml:space="preserve"> concerned</w:t>
      </w:r>
      <w:r w:rsidR="009A4680" w:rsidRPr="00303088">
        <w:t>.</w:t>
      </w:r>
    </w:p>
    <w:p w14:paraId="3DA56F04" w14:textId="0EA0C03A" w:rsidR="002F5CDF" w:rsidRPr="00303088" w:rsidRDefault="002F5CDF" w:rsidP="00303088">
      <w:pPr>
        <w:pStyle w:val="ListParagraph"/>
        <w:spacing w:line="276" w:lineRule="auto"/>
        <w:ind w:left="0"/>
      </w:pPr>
    </w:p>
    <w:p w14:paraId="22A9B14B" w14:textId="363595F4" w:rsidR="006A27D7" w:rsidRDefault="00FE0695" w:rsidP="006A27D7">
      <w:pPr>
        <w:pStyle w:val="ListParagraph"/>
        <w:spacing w:line="276" w:lineRule="auto"/>
        <w:ind w:left="0"/>
      </w:pPr>
      <w:r>
        <w:t xml:space="preserve">Again, there is no explicit </w:t>
      </w:r>
      <w:r w:rsidR="005C7659" w:rsidRPr="00303088">
        <w:t xml:space="preserve">accessibility </w:t>
      </w:r>
      <w:r w:rsidR="002F5CDF" w:rsidRPr="00303088">
        <w:t xml:space="preserve">duty </w:t>
      </w:r>
      <w:r>
        <w:t xml:space="preserve">proposed </w:t>
      </w:r>
      <w:r w:rsidR="002F5CDF" w:rsidRPr="00303088">
        <w:t>on the private sector</w:t>
      </w:r>
      <w:r>
        <w:t xml:space="preserve">. </w:t>
      </w:r>
      <w:r w:rsidR="006A27D7">
        <w:t xml:space="preserve">Private sector entities will be encouraged, but will not be required, to produce Accessibility </w:t>
      </w:r>
      <w:r w:rsidR="006A27D7">
        <w:lastRenderedPageBreak/>
        <w:t xml:space="preserve">Action Plans. </w:t>
      </w:r>
      <w:r w:rsidR="006A27D7" w:rsidRPr="006A27D7">
        <w:t xml:space="preserve">This encouragement will include general advice and guidance, including on voluntarily producing Accessibility Action Plans. </w:t>
      </w:r>
    </w:p>
    <w:p w14:paraId="6335830D" w14:textId="77777777" w:rsidR="009E1F6C" w:rsidRDefault="009E1F6C" w:rsidP="006A27D7">
      <w:pPr>
        <w:pStyle w:val="ListParagraph"/>
        <w:spacing w:line="276" w:lineRule="auto"/>
        <w:ind w:left="0"/>
      </w:pPr>
    </w:p>
    <w:p w14:paraId="40C694FF" w14:textId="064A7FDB" w:rsidR="009E1F6C" w:rsidRDefault="009E1F6C" w:rsidP="006A27D7">
      <w:pPr>
        <w:pStyle w:val="ListParagraph"/>
        <w:spacing w:line="276" w:lineRule="auto"/>
        <w:ind w:left="0"/>
      </w:pPr>
      <w:r w:rsidRPr="009E1F6C">
        <w:t xml:space="preserve">As in the public sector, claims </w:t>
      </w:r>
      <w:r>
        <w:t xml:space="preserve">involving changes to physical features of buildings </w:t>
      </w:r>
      <w:r w:rsidRPr="009E1F6C">
        <w:t>will not be possible for five years from enactment.</w:t>
      </w:r>
    </w:p>
    <w:p w14:paraId="293BC16C" w14:textId="77777777" w:rsidR="006A27D7" w:rsidRPr="006A27D7" w:rsidRDefault="006A27D7" w:rsidP="006A27D7">
      <w:pPr>
        <w:pStyle w:val="ListParagraph"/>
        <w:spacing w:line="276" w:lineRule="auto"/>
        <w:ind w:left="0"/>
      </w:pPr>
    </w:p>
    <w:p w14:paraId="253711DD" w14:textId="12743FED" w:rsidR="00C933F7" w:rsidRPr="00303088" w:rsidRDefault="006A27D7" w:rsidP="006A27D7">
      <w:pPr>
        <w:pStyle w:val="ListParagraph"/>
        <w:spacing w:line="276" w:lineRule="auto"/>
        <w:ind w:left="0"/>
      </w:pPr>
      <w:r w:rsidRPr="006A27D7">
        <w:t>Private entities that choose not to</w:t>
      </w:r>
      <w:r w:rsidR="00DA7BD4">
        <w:t xml:space="preserve"> complete Accessibility Action Plans</w:t>
      </w:r>
      <w:r w:rsidRPr="006A27D7">
        <w:t xml:space="preserve"> </w:t>
      </w:r>
      <w:r>
        <w:t>may</w:t>
      </w:r>
      <w:r w:rsidRPr="006A27D7">
        <w:t xml:space="preserve"> be at greater risk of not being able to use a defence that might have been available from such planning</w:t>
      </w:r>
      <w:r>
        <w:t>. C</w:t>
      </w:r>
      <w:r w:rsidR="00FE0695">
        <w:t xml:space="preserve">hallenges on the basis of poor accessibility would be via claims of indirect discrimination. Such claims </w:t>
      </w:r>
      <w:r>
        <w:t xml:space="preserve">would be </w:t>
      </w:r>
      <w:r w:rsidR="002F5CDF" w:rsidRPr="00303088">
        <w:t>limited by the principle of disproportionate burden</w:t>
      </w:r>
      <w:r w:rsidR="00C933F7" w:rsidRPr="00303088">
        <w:t xml:space="preserve"> and expressed in the legislation as what is reasonable</w:t>
      </w:r>
      <w:r w:rsidR="002F5CDF" w:rsidRPr="00303088">
        <w:t xml:space="preserve">. </w:t>
      </w:r>
      <w:r w:rsidR="00C933F7" w:rsidRPr="00303088">
        <w:t xml:space="preserve">The principle of disproportionate, or undue, burden is well established in legislation in, for example, Europe, USA, Canada and Australia. </w:t>
      </w:r>
    </w:p>
    <w:p w14:paraId="74090A76" w14:textId="122C27D3" w:rsidR="002705A9" w:rsidRPr="00303088" w:rsidRDefault="00B95332" w:rsidP="00303088">
      <w:pPr>
        <w:pStyle w:val="ListParagraph"/>
        <w:spacing w:line="276" w:lineRule="auto"/>
        <w:ind w:left="0"/>
      </w:pPr>
      <w:r w:rsidRPr="00303088">
        <w:t>.</w:t>
      </w:r>
      <w:r w:rsidR="00B032F9" w:rsidRPr="00303088">
        <w:t xml:space="preserve"> </w:t>
      </w:r>
    </w:p>
    <w:p w14:paraId="2E049BAF" w14:textId="01D54220" w:rsidR="00C933F7" w:rsidRPr="00303088" w:rsidRDefault="00C933F7" w:rsidP="00303088">
      <w:pPr>
        <w:pStyle w:val="ListParagraph"/>
        <w:spacing w:line="276" w:lineRule="auto"/>
      </w:pPr>
    </w:p>
    <w:p w14:paraId="0A38128A" w14:textId="64D8A12F" w:rsidR="00E32B4B" w:rsidRPr="00303088" w:rsidRDefault="00051158" w:rsidP="00303088">
      <w:pPr>
        <w:pStyle w:val="ListParagraph"/>
        <w:numPr>
          <w:ilvl w:val="0"/>
          <w:numId w:val="2"/>
        </w:numPr>
        <w:spacing w:before="120" w:after="240" w:line="276" w:lineRule="auto"/>
        <w:ind w:left="0" w:right="-330" w:hanging="357"/>
        <w:contextualSpacing w:val="0"/>
        <w:rPr>
          <w:b/>
          <w:bCs/>
        </w:rPr>
      </w:pPr>
      <w:r w:rsidRPr="00303088">
        <w:rPr>
          <w:b/>
          <w:bCs/>
        </w:rPr>
        <w:t xml:space="preserve">The </w:t>
      </w:r>
      <w:r w:rsidR="00E32B4B" w:rsidRPr="00303088">
        <w:rPr>
          <w:b/>
          <w:bCs/>
        </w:rPr>
        <w:t xml:space="preserve">duty to make </w:t>
      </w:r>
      <w:r w:rsidRPr="00303088">
        <w:rPr>
          <w:b/>
          <w:bCs/>
        </w:rPr>
        <w:t>reasonable adjustment</w:t>
      </w:r>
      <w:r w:rsidR="00E32B4B" w:rsidRPr="00303088">
        <w:rPr>
          <w:b/>
          <w:bCs/>
        </w:rPr>
        <w:t>s for individuals, as explained by CRPD</w:t>
      </w:r>
      <w:r w:rsidR="009C667E" w:rsidRPr="00303088">
        <w:footnoteReference w:id="6"/>
      </w:r>
    </w:p>
    <w:p w14:paraId="303DAB4C" w14:textId="5652E976" w:rsidR="00F8003C" w:rsidRPr="00303088" w:rsidRDefault="00B95332" w:rsidP="00303088">
      <w:pPr>
        <w:pStyle w:val="ListParagraph"/>
        <w:spacing w:line="276" w:lineRule="auto"/>
        <w:ind w:left="0"/>
      </w:pPr>
      <w:r w:rsidRPr="00303088">
        <w:t>According to CRPD</w:t>
      </w:r>
      <w:r w:rsidR="00580370" w:rsidRPr="00303088">
        <w:t xml:space="preserve">, the duty to provide reasonable </w:t>
      </w:r>
      <w:r w:rsidR="00B5119F" w:rsidRPr="00303088">
        <w:t xml:space="preserve">adjustments </w:t>
      </w:r>
      <w:r w:rsidR="00580370" w:rsidRPr="00303088">
        <w:t xml:space="preserve">is  </w:t>
      </w:r>
      <w:r w:rsidR="000E7BED" w:rsidRPr="00303088">
        <w:t>a reactive duty</w:t>
      </w:r>
      <w:r w:rsidR="00EA5D34" w:rsidRPr="00303088">
        <w:t>,</w:t>
      </w:r>
      <w:r w:rsidR="000E7BED" w:rsidRPr="00303088">
        <w:t xml:space="preserve"> </w:t>
      </w:r>
      <w:r w:rsidR="00580370" w:rsidRPr="00303088">
        <w:t xml:space="preserve">enforceable from the moment an individual with an impairment needs it in a given situation, for example, workplace or school, in order </w:t>
      </w:r>
      <w:r w:rsidR="001B7F23" w:rsidRPr="00303088">
        <w:t xml:space="preserve">for </w:t>
      </w:r>
      <w:r w:rsidR="00580370" w:rsidRPr="00303088">
        <w:t>that individual to enjoy their rights on an equal basis in a particular context</w:t>
      </w:r>
      <w:r w:rsidR="00F8003C" w:rsidRPr="00303088">
        <w:t>.</w:t>
      </w:r>
      <w:r w:rsidR="00780968" w:rsidRPr="00303088">
        <w:t xml:space="preserve"> </w:t>
      </w:r>
      <w:r w:rsidR="000E7BED" w:rsidRPr="00303088">
        <w:t>CRPD explains</w:t>
      </w:r>
      <w:r w:rsidR="002652EA" w:rsidRPr="00303088">
        <w:rPr>
          <w:rStyle w:val="FootnoteReference"/>
        </w:rPr>
        <w:footnoteReference w:id="7"/>
      </w:r>
      <w:r w:rsidR="00F67400" w:rsidRPr="00303088">
        <w:t>-</w:t>
      </w:r>
      <w:r w:rsidR="000E7BED" w:rsidRPr="00303088">
        <w:t xml:space="preserve"> that </w:t>
      </w:r>
      <w:r w:rsidR="00CD4F30" w:rsidRPr="00303088">
        <w:t xml:space="preserve">this duty applies to </w:t>
      </w:r>
      <w:r w:rsidR="00780968" w:rsidRPr="00303088">
        <w:t xml:space="preserve">both </w:t>
      </w:r>
      <w:r w:rsidR="00EA5D34" w:rsidRPr="00303088">
        <w:t>p</w:t>
      </w:r>
      <w:r w:rsidR="000E7BED" w:rsidRPr="00303088">
        <w:t>ublic and private entities</w:t>
      </w:r>
      <w:r w:rsidR="00807174" w:rsidRPr="00303088">
        <w:t>.</w:t>
      </w:r>
    </w:p>
    <w:p w14:paraId="2AE1D409" w14:textId="34901611" w:rsidR="00807174" w:rsidRPr="00303088" w:rsidRDefault="00807174" w:rsidP="00303088">
      <w:pPr>
        <w:pStyle w:val="ListParagraph"/>
        <w:spacing w:line="276" w:lineRule="auto"/>
        <w:ind w:left="0"/>
      </w:pPr>
    </w:p>
    <w:p w14:paraId="5C07A6AD" w14:textId="1D14544E" w:rsidR="00E3234B" w:rsidRPr="00303088" w:rsidRDefault="00807174" w:rsidP="00303088">
      <w:pPr>
        <w:pStyle w:val="ListParagraph"/>
        <w:spacing w:line="276" w:lineRule="auto"/>
        <w:ind w:left="0"/>
      </w:pPr>
      <w:r w:rsidRPr="00303088">
        <w:t xml:space="preserve">Employers and service providers are required by CRPD to discuss the </w:t>
      </w:r>
      <w:r w:rsidR="002B2559" w:rsidRPr="00303088">
        <w:t>adjustment with the individual and, in judging reasonableness</w:t>
      </w:r>
      <w:r w:rsidR="00E3234B" w:rsidRPr="00303088">
        <w:t>,</w:t>
      </w:r>
      <w:r w:rsidR="002B2559" w:rsidRPr="00303088">
        <w:t xml:space="preserve"> should consider both the </w:t>
      </w:r>
      <w:r w:rsidR="00424B26" w:rsidRPr="00303088">
        <w:t>appropriateness</w:t>
      </w:r>
      <w:r w:rsidR="002B2559" w:rsidRPr="00303088">
        <w:t xml:space="preserve"> and </w:t>
      </w:r>
      <w:r w:rsidR="00424B26" w:rsidRPr="00303088">
        <w:t>necessity of any proposed adjustment.</w:t>
      </w:r>
      <w:r w:rsidR="00F67400" w:rsidRPr="00303088">
        <w:t xml:space="preserve"> E</w:t>
      </w:r>
      <w:r w:rsidR="00E3234B" w:rsidRPr="00303088">
        <w:t>xperience elsewhere show</w:t>
      </w:r>
      <w:r w:rsidR="00F67400" w:rsidRPr="00303088">
        <w:t>s</w:t>
      </w:r>
      <w:r w:rsidR="00E3234B" w:rsidRPr="00303088">
        <w:t xml:space="preserve"> that</w:t>
      </w:r>
      <w:r w:rsidR="00F67400" w:rsidRPr="00303088">
        <w:t xml:space="preserve">, </w:t>
      </w:r>
      <w:r w:rsidR="00780968" w:rsidRPr="00303088">
        <w:t>i</w:t>
      </w:r>
      <w:r w:rsidR="00F67400" w:rsidRPr="00303088">
        <w:t xml:space="preserve">n most instances, </w:t>
      </w:r>
      <w:r w:rsidR="001341E4" w:rsidRPr="00303088">
        <w:t>both the necessity and appropriateness of adjustments are obvious</w:t>
      </w:r>
      <w:r w:rsidR="00194E04" w:rsidRPr="00303088">
        <w:t xml:space="preserve"> (discussion is still required). Where there is a dispute about </w:t>
      </w:r>
      <w:r w:rsidR="00751023" w:rsidRPr="00303088">
        <w:t>either the need for</w:t>
      </w:r>
      <w:r w:rsidR="00780968" w:rsidRPr="00303088">
        <w:t>,</w:t>
      </w:r>
      <w:r w:rsidR="00751023" w:rsidRPr="00303088">
        <w:t xml:space="preserve"> or appropriateness of</w:t>
      </w:r>
      <w:r w:rsidR="00780968" w:rsidRPr="00303088">
        <w:t>,</w:t>
      </w:r>
      <w:r w:rsidR="00751023" w:rsidRPr="00303088">
        <w:t xml:space="preserve"> an adjustment, </w:t>
      </w:r>
      <w:r w:rsidR="006330F9" w:rsidRPr="00303088">
        <w:t>free guidance and advice will be available.</w:t>
      </w:r>
      <w:r w:rsidR="001341E4" w:rsidRPr="00303088">
        <w:t xml:space="preserve"> </w:t>
      </w:r>
    </w:p>
    <w:p w14:paraId="22C28E78" w14:textId="77777777" w:rsidR="008A794E" w:rsidRPr="00303088" w:rsidRDefault="008A794E" w:rsidP="00303088">
      <w:pPr>
        <w:pStyle w:val="ListParagraph"/>
        <w:spacing w:line="276" w:lineRule="auto"/>
        <w:rPr>
          <w:sz w:val="21"/>
          <w:szCs w:val="21"/>
        </w:rPr>
      </w:pPr>
    </w:p>
    <w:p w14:paraId="288ECA13" w14:textId="0C847A8D" w:rsidR="00E20CBC" w:rsidRDefault="006330F9" w:rsidP="00303088">
      <w:pPr>
        <w:pStyle w:val="ListParagraph"/>
        <w:numPr>
          <w:ilvl w:val="0"/>
          <w:numId w:val="2"/>
        </w:numPr>
        <w:spacing w:line="276" w:lineRule="auto"/>
        <w:ind w:left="0"/>
        <w:rPr>
          <w:b/>
        </w:rPr>
      </w:pPr>
      <w:r w:rsidRPr="00303088">
        <w:rPr>
          <w:b/>
        </w:rPr>
        <w:t xml:space="preserve">The reasonable adjustment duty as currently proposed </w:t>
      </w:r>
    </w:p>
    <w:p w14:paraId="11CF1678" w14:textId="644661D9" w:rsidR="00D56B41" w:rsidRPr="00D56B41" w:rsidRDefault="006A27D7" w:rsidP="00D56B41">
      <w:pPr>
        <w:spacing w:line="276" w:lineRule="auto"/>
      </w:pPr>
      <w:r w:rsidRPr="00303088">
        <w:t>The proposals include a separate immediately enforceable duty which complies with CRPD in all respects except where claims</w:t>
      </w:r>
      <w:r>
        <w:t xml:space="preserve"> </w:t>
      </w:r>
      <w:r w:rsidRPr="00303088">
        <w:t xml:space="preserve">involving a failure to adjust a physical feature of a building </w:t>
      </w:r>
      <w:r>
        <w:t>are</w:t>
      </w:r>
      <w:r w:rsidRPr="00303088">
        <w:t xml:space="preserve"> concerned. Currently, the Policy Letter proposes a five-year moratorium on such claims.</w:t>
      </w:r>
      <w:r w:rsidR="00D56B41">
        <w:t xml:space="preserve"> </w:t>
      </w:r>
      <w:r w:rsidR="00D56B41" w:rsidRPr="00D56B41">
        <w:t>Whilst the moratorium on claims involving indirect discrimination as explained in 2. (above), is allowable under CRPD, a similar moratorium preventing what should be an immediately enforceable right is not.</w:t>
      </w:r>
      <w:r w:rsidR="00DA7BD4">
        <w:t xml:space="preserve"> In this respect, the proposals do not meet the standard required.</w:t>
      </w:r>
    </w:p>
    <w:p w14:paraId="74852133" w14:textId="77777777" w:rsidR="00D56B41" w:rsidRPr="00D56B41" w:rsidRDefault="00D56B41" w:rsidP="00D56B41">
      <w:pPr>
        <w:spacing w:line="276" w:lineRule="auto"/>
      </w:pPr>
      <w:r w:rsidRPr="00D56B41">
        <w:lastRenderedPageBreak/>
        <w:t>Employers and service providers would not be required to make an adjustment that would constitute a disproportionate burden.</w:t>
      </w:r>
    </w:p>
    <w:p w14:paraId="1ED9C76D" w14:textId="11BBDAA0" w:rsidR="00823E9E" w:rsidRPr="00303088" w:rsidRDefault="00E20CBC" w:rsidP="00303088">
      <w:pPr>
        <w:pStyle w:val="ListParagraph"/>
        <w:spacing w:line="276" w:lineRule="auto"/>
        <w:ind w:left="0"/>
      </w:pPr>
      <w:r w:rsidRPr="00303088">
        <w:t>According to Croner</w:t>
      </w:r>
      <w:r w:rsidRPr="00303088">
        <w:rPr>
          <w:vertAlign w:val="superscript"/>
        </w:rPr>
        <w:footnoteReference w:id="8"/>
      </w:r>
      <w:r w:rsidRPr="00303088">
        <w:t>, the respected UK Employment Law, HR and Health &amp; Safety Services experts</w:t>
      </w:r>
      <w:r w:rsidR="001063E6" w:rsidRPr="00303088">
        <w:t xml:space="preserve">, </w:t>
      </w:r>
      <w:r w:rsidRPr="00303088">
        <w:t>i</w:t>
      </w:r>
      <w:r w:rsidR="00823E9E" w:rsidRPr="00303088">
        <w:t xml:space="preserve">n most cases (approximately 60%), reasonable adjustments are procedural and will involve little or no cost other than the cost in management time to consider the appropriateness and necessity of the adjustment. </w:t>
      </w:r>
    </w:p>
    <w:p w14:paraId="417ABBCE" w14:textId="38FF252A" w:rsidR="00823E9E" w:rsidRPr="00303088" w:rsidRDefault="00823E9E" w:rsidP="00303088">
      <w:pPr>
        <w:pStyle w:val="ListParagraph"/>
        <w:snapToGrid w:val="0"/>
        <w:spacing w:before="240" w:line="276" w:lineRule="auto"/>
        <w:contextualSpacing w:val="0"/>
      </w:pPr>
      <w:r w:rsidRPr="00303088">
        <w:t>“The average cost of a reasonable adjustment varies depending on particular reports and publications, but the estimate lies somewhere between £30 - £180 per individual. The size (and cost) of the adjustment is usually relative to the size of your company.”</w:t>
      </w:r>
    </w:p>
    <w:p w14:paraId="0214E5E7" w14:textId="22BEEDF7" w:rsidR="00823E9E" w:rsidRPr="00303088" w:rsidRDefault="00823E9E" w:rsidP="00303088">
      <w:pPr>
        <w:pStyle w:val="ListParagraph"/>
        <w:spacing w:line="276" w:lineRule="auto"/>
        <w:ind w:left="0"/>
      </w:pPr>
      <w:r w:rsidRPr="00303088">
        <w:t>For most of the adjustments that do have costs implications, the costs are modest. The Policy Letter identifies that:</w:t>
      </w:r>
    </w:p>
    <w:p w14:paraId="6BAE6FA8" w14:textId="39D17CA3" w:rsidR="00823E9E" w:rsidRPr="00303088" w:rsidRDefault="00823E9E" w:rsidP="00303088">
      <w:pPr>
        <w:pStyle w:val="ListParagraph"/>
        <w:snapToGrid w:val="0"/>
        <w:spacing w:before="240" w:line="276" w:lineRule="auto"/>
        <w:contextualSpacing w:val="0"/>
        <w:rPr>
          <w:i/>
        </w:rPr>
      </w:pPr>
      <w:r w:rsidRPr="00303088">
        <w:t xml:space="preserve"> </w:t>
      </w:r>
      <w:r w:rsidRPr="00303088">
        <w:rPr>
          <w:i/>
        </w:rPr>
        <w:t>“workplace accommodations not only are low cost, but also positively impact the workplace in many ways”</w:t>
      </w:r>
    </w:p>
    <w:p w14:paraId="4AA4096F" w14:textId="7D5E3B36" w:rsidR="001063E6" w:rsidRPr="00303088" w:rsidRDefault="001063E6" w:rsidP="00303088">
      <w:pPr>
        <w:spacing w:line="276" w:lineRule="auto"/>
      </w:pPr>
      <w:r w:rsidRPr="00303088">
        <w:t>Mechanisms already exist</w:t>
      </w:r>
      <w:r w:rsidR="00E34FE7" w:rsidRPr="00303088">
        <w:t>,</w:t>
      </w:r>
      <w:r w:rsidRPr="00303088">
        <w:t xml:space="preserve"> through Social Security</w:t>
      </w:r>
      <w:r w:rsidR="00796864" w:rsidRPr="00303088">
        <w:t>,</w:t>
      </w:r>
      <w:r w:rsidRPr="00303088">
        <w:t xml:space="preserve"> that can assist with the cost of such adjustments and  the GDA understands that further consideration is </w:t>
      </w:r>
      <w:r w:rsidR="00D56B41">
        <w:t>proposed</w:t>
      </w:r>
      <w:r w:rsidRPr="00303088">
        <w:t xml:space="preserve">  to broaden the employment field for persons with </w:t>
      </w:r>
      <w:r w:rsidR="00362404" w:rsidRPr="00303088">
        <w:t>disabilities</w:t>
      </w:r>
      <w:r w:rsidRPr="00303088">
        <w:t xml:space="preserve"> b</w:t>
      </w:r>
      <w:r w:rsidR="00796864" w:rsidRPr="00303088">
        <w:t>y providing further support for smaller employers</w:t>
      </w:r>
      <w:r w:rsidR="00D56B41">
        <w:t>,</w:t>
      </w:r>
      <w:r w:rsidR="00796864" w:rsidRPr="00303088">
        <w:t xml:space="preserve"> as</w:t>
      </w:r>
      <w:r w:rsidRPr="00303088">
        <w:t xml:space="preserve"> </w:t>
      </w:r>
      <w:r w:rsidR="00362404" w:rsidRPr="00303088">
        <w:t xml:space="preserve">the principle of undue burden tends to  skew  employment </w:t>
      </w:r>
      <w:r w:rsidR="00D56B41">
        <w:t xml:space="preserve">opportunities </w:t>
      </w:r>
      <w:r w:rsidR="00362404" w:rsidRPr="00303088">
        <w:t>towards larger employers.</w:t>
      </w:r>
    </w:p>
    <w:p w14:paraId="21781993" w14:textId="77777777" w:rsidR="00362404" w:rsidRDefault="00362404" w:rsidP="00303088">
      <w:pPr>
        <w:spacing w:line="276" w:lineRule="auto"/>
      </w:pPr>
      <w:r w:rsidRPr="00303088">
        <w:t>It is worth noting that a report</w:t>
      </w:r>
      <w:r w:rsidR="00E662A5" w:rsidRPr="00303088">
        <w:rPr>
          <w:rStyle w:val="FootnoteReference"/>
        </w:rPr>
        <w:footnoteReference w:id="9"/>
      </w:r>
      <w:r w:rsidRPr="00303088">
        <w:t xml:space="preserve"> </w:t>
      </w:r>
      <w:r w:rsidR="00E662A5" w:rsidRPr="00303088">
        <w:t>-</w:t>
      </w:r>
      <w:r w:rsidRPr="00303088">
        <w:t>into the UK’s Access to Work Scheme suggested that for every £1 spent on their Access to Work Scheme produced a return to the exchequer of £1.4</w:t>
      </w:r>
      <w:r w:rsidR="00303088">
        <w:t>8</w:t>
      </w:r>
    </w:p>
    <w:p w14:paraId="1A85A41F" w14:textId="77777777" w:rsidR="00303088" w:rsidRDefault="00303088" w:rsidP="00303088">
      <w:pPr>
        <w:spacing w:line="276" w:lineRule="auto"/>
      </w:pPr>
    </w:p>
    <w:p w14:paraId="2A00BD2C" w14:textId="77777777" w:rsidR="00D56B41" w:rsidRDefault="00D56B41" w:rsidP="00303088">
      <w:pPr>
        <w:spacing w:line="276" w:lineRule="auto"/>
      </w:pPr>
    </w:p>
    <w:p w14:paraId="5C28AD72" w14:textId="77777777" w:rsidR="00D56B41" w:rsidRDefault="00D56B41" w:rsidP="00303088">
      <w:pPr>
        <w:spacing w:line="276" w:lineRule="auto"/>
      </w:pPr>
    </w:p>
    <w:p w14:paraId="41FD3989" w14:textId="79661460" w:rsidR="00D56B41" w:rsidRPr="00303088" w:rsidRDefault="00D56B41" w:rsidP="00303088">
      <w:pPr>
        <w:spacing w:line="276" w:lineRule="auto"/>
        <w:sectPr w:rsidR="00D56B41" w:rsidRPr="00303088" w:rsidSect="00303088">
          <w:headerReference w:type="even" r:id="rId8"/>
          <w:headerReference w:type="default" r:id="rId9"/>
          <w:footerReference w:type="even" r:id="rId10"/>
          <w:footerReference w:type="default" r:id="rId11"/>
          <w:headerReference w:type="first" r:id="rId12"/>
          <w:footerReference w:type="first" r:id="rId13"/>
          <w:pgSz w:w="11906" w:h="16838"/>
          <w:pgMar w:top="964" w:right="1440" w:bottom="793" w:left="1440" w:header="708" w:footer="708" w:gutter="0"/>
          <w:cols w:space="708"/>
          <w:titlePg/>
          <w:docGrid w:linePitch="360"/>
        </w:sectPr>
      </w:pPr>
    </w:p>
    <w:p w14:paraId="7C8A01DB" w14:textId="0763A8E2" w:rsidR="00F7085B" w:rsidRDefault="00F7085B" w:rsidP="00303088">
      <w:pPr>
        <w:pStyle w:val="paragraph"/>
        <w:spacing w:before="240" w:beforeAutospacing="0" w:after="0" w:afterAutospacing="0"/>
        <w:textAlignment w:val="baseline"/>
        <w:rPr>
          <w:rFonts w:ascii="Segoe UI" w:hAnsi="Segoe UI" w:cs="Segoe UI"/>
          <w:sz w:val="18"/>
          <w:szCs w:val="18"/>
        </w:rPr>
      </w:pPr>
      <w:r>
        <w:rPr>
          <w:rStyle w:val="normaltextrun"/>
          <w:rFonts w:ascii="Arial" w:hAnsi="Arial" w:cs="Arial"/>
          <w:color w:val="000000"/>
        </w:rPr>
        <w:t>-----------------------------------------</w:t>
      </w:r>
      <w:r>
        <w:rPr>
          <w:rStyle w:val="eop"/>
          <w:rFonts w:ascii="Arial" w:hAnsi="Arial" w:cs="Arial"/>
        </w:rPr>
        <w:t> </w:t>
      </w:r>
    </w:p>
    <w:p w14:paraId="748FA0A7" w14:textId="2B3ACC65" w:rsidR="00F929BF" w:rsidRPr="00303088" w:rsidRDefault="00F7085B" w:rsidP="00303088">
      <w:pPr>
        <w:pStyle w:val="paragraph"/>
        <w:spacing w:before="0" w:beforeAutospacing="0" w:after="0" w:afterAutospacing="0"/>
        <w:textAlignment w:val="baseline"/>
        <w:rPr>
          <w:rFonts w:ascii="Segoe UI" w:hAnsi="Segoe UI" w:cs="Segoe UI"/>
          <w:sz w:val="22"/>
          <w:szCs w:val="22"/>
        </w:rPr>
        <w:sectPr w:rsidR="00F929BF" w:rsidRPr="00303088" w:rsidSect="00F929BF">
          <w:footerReference w:type="default" r:id="rId14"/>
          <w:type w:val="continuous"/>
          <w:pgSz w:w="11906" w:h="16838"/>
          <w:pgMar w:top="1440" w:right="1440" w:bottom="1440" w:left="1440" w:header="708" w:footer="708" w:gutter="0"/>
          <w:cols w:space="708"/>
          <w:titlePg/>
          <w:docGrid w:linePitch="360"/>
        </w:sectPr>
      </w:pPr>
      <w:r w:rsidRPr="00303088">
        <w:rPr>
          <w:rStyle w:val="normaltextrun"/>
          <w:rFonts w:ascii="Arial" w:hAnsi="Arial" w:cs="Arial"/>
          <w:color w:val="000000"/>
          <w:sz w:val="22"/>
          <w:szCs w:val="22"/>
        </w:rPr>
        <w:t>Note: Guernsey Disability Alliance does not offer legal advice. Whilst this document has been checked for factual error by experts in human rights and discrimination law, opinions within this document are those of the Executive of Guernsey Disability Alliance LBG and are not offered as legal advic</w:t>
      </w:r>
      <w:r w:rsidR="00303088" w:rsidRPr="00303088">
        <w:rPr>
          <w:rStyle w:val="normaltextrun"/>
          <w:rFonts w:ascii="Arial" w:hAnsi="Arial" w:cs="Arial"/>
          <w:color w:val="000000"/>
          <w:sz w:val="22"/>
          <w:szCs w:val="22"/>
        </w:rPr>
        <w:t>e</w:t>
      </w:r>
    </w:p>
    <w:p w14:paraId="6C4A466D" w14:textId="5228714E" w:rsidR="00F7085B" w:rsidRPr="00E20CBC" w:rsidRDefault="00F7085B" w:rsidP="003C60F0"/>
    <w:sectPr w:rsidR="00F7085B" w:rsidRPr="00E20CBC" w:rsidSect="00F929BF">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44E45" w14:textId="77777777" w:rsidR="0046769B" w:rsidRDefault="0046769B" w:rsidP="003C60F0">
      <w:pPr>
        <w:spacing w:after="0" w:line="240" w:lineRule="auto"/>
      </w:pPr>
      <w:r>
        <w:separator/>
      </w:r>
    </w:p>
  </w:endnote>
  <w:endnote w:type="continuationSeparator" w:id="0">
    <w:p w14:paraId="3822090E" w14:textId="77777777" w:rsidR="0046769B" w:rsidRDefault="0046769B" w:rsidP="003C6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E943B" w14:textId="77777777" w:rsidR="00D86DF1" w:rsidRDefault="00D86D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2DE97" w14:textId="77777777" w:rsidR="00D86DF1" w:rsidRDefault="00D86D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A1F42" w14:textId="77777777" w:rsidR="00D86DF1" w:rsidRDefault="00D86DF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72E1" w14:textId="77777777" w:rsidR="00F929BF" w:rsidRPr="00F929BF" w:rsidRDefault="00F929BF" w:rsidP="00F929BF">
    <w:pPr>
      <w:tabs>
        <w:tab w:val="center" w:pos="4680"/>
        <w:tab w:val="right" w:pos="9360"/>
      </w:tabs>
      <w:spacing w:after="0" w:line="240" w:lineRule="auto"/>
    </w:pPr>
    <w:r w:rsidRPr="00F929BF">
      <w:t>GDA LBG, Author R A Platts MBE 28.06.2020</w:t>
    </w:r>
  </w:p>
  <w:p w14:paraId="41DFE906" w14:textId="77777777" w:rsidR="00F929BF" w:rsidRDefault="00F92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7C417" w14:textId="77777777" w:rsidR="0046769B" w:rsidRDefault="0046769B" w:rsidP="003C60F0">
      <w:pPr>
        <w:spacing w:after="0" w:line="240" w:lineRule="auto"/>
      </w:pPr>
      <w:r>
        <w:separator/>
      </w:r>
    </w:p>
  </w:footnote>
  <w:footnote w:type="continuationSeparator" w:id="0">
    <w:p w14:paraId="5F0825EF" w14:textId="77777777" w:rsidR="0046769B" w:rsidRDefault="0046769B" w:rsidP="003C60F0">
      <w:pPr>
        <w:spacing w:after="0" w:line="240" w:lineRule="auto"/>
      </w:pPr>
      <w:r>
        <w:continuationSeparator/>
      </w:r>
    </w:p>
  </w:footnote>
  <w:footnote w:id="1">
    <w:p w14:paraId="724C1468" w14:textId="08C9CC09" w:rsidR="003C60F0" w:rsidRDefault="003C60F0">
      <w:pPr>
        <w:pStyle w:val="FootnoteText"/>
      </w:pPr>
      <w:r>
        <w:rPr>
          <w:rStyle w:val="FootnoteReference"/>
        </w:rPr>
        <w:footnoteRef/>
      </w:r>
      <w:r>
        <w:t xml:space="preserve"> The States agreed, in Nov 2013, to seek extension of the Convention “at the earliest appropriate opportunity”.</w:t>
      </w:r>
    </w:p>
  </w:footnote>
  <w:footnote w:id="2">
    <w:p w14:paraId="66A92E7F" w14:textId="09D808E4" w:rsidR="00AA5869" w:rsidRDefault="00AA5869" w:rsidP="00AA5869">
      <w:pPr>
        <w:pStyle w:val="FootnoteText"/>
      </w:pPr>
      <w:r>
        <w:rPr>
          <w:rStyle w:val="FootnoteReference"/>
        </w:rPr>
        <w:footnoteRef/>
      </w:r>
      <w:r>
        <w:t xml:space="preserve"> For Example, reasonable adjustments relating to physical features of building, </w:t>
      </w:r>
      <w:r w:rsidR="005404DA">
        <w:t>6-month</w:t>
      </w:r>
      <w:r>
        <w:t xml:space="preserve"> qualification in definition of disability, and provisions required to promote, protect and monitor rights and to implement the CRPD.</w:t>
      </w:r>
    </w:p>
  </w:footnote>
  <w:footnote w:id="3">
    <w:p w14:paraId="62054F78" w14:textId="4BE0F29D" w:rsidR="008A794E" w:rsidRDefault="008A794E" w:rsidP="008A794E">
      <w:pPr>
        <w:pStyle w:val="FootnoteText"/>
      </w:pPr>
      <w:r>
        <w:rPr>
          <w:rStyle w:val="FootnoteReference"/>
        </w:rPr>
        <w:footnoteRef/>
      </w:r>
      <w:r>
        <w:t xml:space="preserve"> Equality Bill Impact Assessment, Version 3 (House of Commons Report Stage), November 2009 </w:t>
      </w:r>
    </w:p>
    <w:p w14:paraId="633DBCAD" w14:textId="0FC84CC0" w:rsidR="008A794E" w:rsidRDefault="008A794E" w:rsidP="008A794E">
      <w:pPr>
        <w:pStyle w:val="FootnoteText"/>
      </w:pPr>
    </w:p>
  </w:footnote>
  <w:footnote w:id="4">
    <w:p w14:paraId="11A598AF" w14:textId="15433FEF" w:rsidR="008F0637" w:rsidRDefault="008F0637">
      <w:pPr>
        <w:pStyle w:val="FootnoteText"/>
      </w:pPr>
      <w:r>
        <w:rPr>
          <w:rStyle w:val="FootnoteReference"/>
        </w:rPr>
        <w:footnoteRef/>
      </w:r>
      <w:r>
        <w:t xml:space="preserve"> </w:t>
      </w:r>
      <w:bookmarkStart w:id="2" w:name="_Hlk44154960"/>
      <w:r w:rsidRPr="008F0637">
        <w:t>Committee on the Rights of Persons with Disabilities Eleventh session 31 March–11 April 2014 General comment No. 2 (2014) Article 9: Accessibility</w:t>
      </w:r>
    </w:p>
    <w:bookmarkEnd w:id="2"/>
  </w:footnote>
  <w:footnote w:id="5">
    <w:p w14:paraId="723B2AAF" w14:textId="3EB10D6B" w:rsidR="009919C6" w:rsidRDefault="009919C6">
      <w:pPr>
        <w:pStyle w:val="FootnoteText"/>
      </w:pPr>
      <w:r>
        <w:rPr>
          <w:rStyle w:val="FootnoteReference"/>
        </w:rPr>
        <w:footnoteRef/>
      </w:r>
      <w:r>
        <w:t xml:space="preserve"> Ibid</w:t>
      </w:r>
    </w:p>
  </w:footnote>
  <w:footnote w:id="6">
    <w:p w14:paraId="4DF83E89" w14:textId="77777777" w:rsidR="009C667E" w:rsidRPr="009C667E" w:rsidRDefault="009C667E" w:rsidP="009C667E">
      <w:pPr>
        <w:pStyle w:val="FootnoteText"/>
      </w:pPr>
      <w:r>
        <w:rPr>
          <w:rStyle w:val="FootnoteReference"/>
        </w:rPr>
        <w:footnoteRef/>
      </w:r>
      <w:r>
        <w:t xml:space="preserve"> For further details please see </w:t>
      </w:r>
      <w:r w:rsidRPr="009C667E">
        <w:t>Committee on the Rights of Persons with Disabilities Eleventh session 31 March–11 April 2014 General comment No. 2 (2014) Article 9: Accessibility</w:t>
      </w:r>
    </w:p>
    <w:p w14:paraId="04725999" w14:textId="4783F924" w:rsidR="009C667E" w:rsidRDefault="009C667E">
      <w:pPr>
        <w:pStyle w:val="FootnoteText"/>
      </w:pPr>
    </w:p>
  </w:footnote>
  <w:footnote w:id="7">
    <w:p w14:paraId="237BE5A7" w14:textId="49226CAC" w:rsidR="002652EA" w:rsidRDefault="002652EA">
      <w:pPr>
        <w:pStyle w:val="FootnoteText"/>
      </w:pPr>
      <w:r>
        <w:rPr>
          <w:rStyle w:val="FootnoteReference"/>
        </w:rPr>
        <w:footnoteRef/>
      </w:r>
      <w:r>
        <w:t xml:space="preserve"> See the Committee for CRPD General Comment 2 (Article 9, Accessibility)</w:t>
      </w:r>
    </w:p>
  </w:footnote>
  <w:footnote w:id="8">
    <w:p w14:paraId="1A428DB7" w14:textId="77777777" w:rsidR="00E20CBC" w:rsidRDefault="00E20CBC" w:rsidP="00E20CBC">
      <w:pPr>
        <w:pStyle w:val="FootnoteText"/>
      </w:pPr>
      <w:r>
        <w:rPr>
          <w:rStyle w:val="FootnoteReference"/>
        </w:rPr>
        <w:footnoteRef/>
      </w:r>
      <w:r>
        <w:t xml:space="preserve"> </w:t>
      </w:r>
      <w:hyperlink r:id="rId1" w:history="1">
        <w:r w:rsidRPr="00E71E57">
          <w:rPr>
            <w:rStyle w:val="Hyperlink"/>
          </w:rPr>
          <w:t>https://croner.co.uk/resources/recruitment/mythbuster-expensive-hire-disabled-workers/</w:t>
        </w:r>
      </w:hyperlink>
      <w:r>
        <w:t xml:space="preserve"> accessed 18</w:t>
      </w:r>
      <w:r w:rsidRPr="00FB3C2B">
        <w:rPr>
          <w:vertAlign w:val="superscript"/>
        </w:rPr>
        <w:t>th</w:t>
      </w:r>
      <w:r>
        <w:t xml:space="preserve"> March 2020 </w:t>
      </w:r>
    </w:p>
  </w:footnote>
  <w:footnote w:id="9">
    <w:p w14:paraId="3907BDC0" w14:textId="7253B817" w:rsidR="00E662A5" w:rsidRDefault="00E662A5">
      <w:pPr>
        <w:pStyle w:val="FootnoteText"/>
      </w:pPr>
      <w:r>
        <w:rPr>
          <w:rStyle w:val="FootnoteReference"/>
        </w:rPr>
        <w:footnoteRef/>
      </w:r>
      <w:r>
        <w:t xml:space="preserve"> </w:t>
      </w:r>
      <w:r w:rsidRPr="00E662A5">
        <w:t xml:space="preserve">Liz </w:t>
      </w:r>
      <w:proofErr w:type="spellStart"/>
      <w:r w:rsidRPr="00E662A5">
        <w:t>Sayce</w:t>
      </w:r>
      <w:proofErr w:type="spellEnd"/>
      <w:r w:rsidRPr="00E662A5">
        <w:t xml:space="preserve">, 2011, Review to government, </w:t>
      </w:r>
      <w:hyperlink r:id="rId2" w:history="1">
        <w:r w:rsidRPr="00E662A5">
          <w:rPr>
            <w:rStyle w:val="Hyperlink"/>
          </w:rPr>
          <w:t>Department of Work &amp; Pensions, “Getting in, staying in and getting on - Disability employment support fit for the future”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505F3" w14:textId="77777777" w:rsidR="00D86DF1" w:rsidRDefault="00D86D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9FDDD" w14:textId="50CD24FE" w:rsidR="008E1437" w:rsidRPr="00085BD1" w:rsidRDefault="008E1437" w:rsidP="00697110">
    <w:pPr>
      <w:pStyle w:val="Title"/>
      <w:tabs>
        <w:tab w:val="left" w:pos="5387"/>
      </w:tabs>
      <w:snapToGrid w:val="0"/>
      <w:ind w:right="-329"/>
      <w:contextualSpacing w:val="0"/>
      <w:rPr>
        <w:color w:val="008000"/>
      </w:rPr>
    </w:pPr>
  </w:p>
  <w:p w14:paraId="76EDE9C1" w14:textId="77777777" w:rsidR="008E1437" w:rsidRDefault="008E14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03B16" w14:textId="769EBECA" w:rsidR="00556FD1" w:rsidRDefault="00556FD1" w:rsidP="00556FD1">
    <w:pPr>
      <w:pStyle w:val="Title"/>
      <w:tabs>
        <w:tab w:val="left" w:pos="5387"/>
      </w:tabs>
      <w:snapToGrid w:val="0"/>
      <w:ind w:right="-329"/>
      <w:contextualSpacing w:val="0"/>
      <w:rPr>
        <w:rFonts w:ascii="Arial" w:hAnsi="Arial" w:cs="Arial"/>
        <w:color w:val="008000"/>
        <w:sz w:val="48"/>
        <w:szCs w:val="48"/>
      </w:rPr>
    </w:pPr>
    <w:r>
      <w:rPr>
        <w:noProof/>
        <w:color w:val="008000"/>
      </w:rPr>
      <w:drawing>
        <wp:anchor distT="0" distB="0" distL="114300" distR="114300" simplePos="0" relativeHeight="251658240" behindDoc="1" locked="0" layoutInCell="1" allowOverlap="1" wp14:anchorId="2E2BFC8A" wp14:editId="6D019889">
          <wp:simplePos x="0" y="0"/>
          <wp:positionH relativeFrom="column">
            <wp:posOffset>3305175</wp:posOffset>
          </wp:positionH>
          <wp:positionV relativeFrom="paragraph">
            <wp:posOffset>-175260</wp:posOffset>
          </wp:positionV>
          <wp:extent cx="2882265" cy="1014095"/>
          <wp:effectExtent l="0" t="0" r="0" b="0"/>
          <wp:wrapTight wrapText="bothSides">
            <wp:wrapPolygon edited="0">
              <wp:start x="0" y="0"/>
              <wp:lineTo x="0" y="21100"/>
              <wp:lineTo x="21414" y="21100"/>
              <wp:lineTo x="21414"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DA logo ko cmyk.jpg"/>
                  <pic:cNvPicPr/>
                </pic:nvPicPr>
                <pic:blipFill>
                  <a:blip r:embed="rId1">
                    <a:extLst>
                      <a:ext uri="{28A0092B-C50C-407E-A947-70E740481C1C}">
                        <a14:useLocalDpi xmlns:a14="http://schemas.microsoft.com/office/drawing/2010/main" val="0"/>
                      </a:ext>
                    </a:extLst>
                  </a:blip>
                  <a:stretch>
                    <a:fillRect/>
                  </a:stretch>
                </pic:blipFill>
                <pic:spPr>
                  <a:xfrm>
                    <a:off x="0" y="0"/>
                    <a:ext cx="2882265" cy="1014095"/>
                  </a:xfrm>
                  <a:prstGeom prst="rect">
                    <a:avLst/>
                  </a:prstGeom>
                </pic:spPr>
              </pic:pic>
            </a:graphicData>
          </a:graphic>
        </wp:anchor>
      </w:drawing>
    </w:r>
  </w:p>
  <w:p w14:paraId="68B2CB3E" w14:textId="03429C07" w:rsidR="00697110" w:rsidRPr="00085BD1" w:rsidRDefault="00697110" w:rsidP="00556FD1">
    <w:pPr>
      <w:pStyle w:val="Title"/>
      <w:tabs>
        <w:tab w:val="left" w:pos="5387"/>
      </w:tabs>
      <w:snapToGrid w:val="0"/>
      <w:ind w:right="-329"/>
      <w:contextualSpacing w:val="0"/>
      <w:rPr>
        <w:color w:val="008000"/>
      </w:rPr>
    </w:pPr>
    <w:r w:rsidRPr="00B72D06">
      <w:rPr>
        <w:rFonts w:ascii="Arial" w:hAnsi="Arial" w:cs="Arial"/>
        <w:color w:val="008000"/>
        <w:sz w:val="48"/>
        <w:szCs w:val="48"/>
      </w:rPr>
      <w:t xml:space="preserve">Briefing Note </w:t>
    </w:r>
    <w:r w:rsidRPr="00B72D06">
      <w:rPr>
        <w:rFonts w:ascii="Arial" w:hAnsi="Arial" w:cs="Arial"/>
        <w:color w:val="008000"/>
        <w:sz w:val="48"/>
        <w:szCs w:val="48"/>
      </w:rPr>
      <w:t>#</w:t>
    </w:r>
    <w:r w:rsidR="00D86DF1">
      <w:rPr>
        <w:rFonts w:ascii="Arial" w:hAnsi="Arial" w:cs="Arial"/>
        <w:color w:val="008000"/>
        <w:sz w:val="48"/>
        <w:szCs w:val="48"/>
      </w:rPr>
      <w:t>3</w:t>
    </w:r>
  </w:p>
  <w:p w14:paraId="295749FA" w14:textId="77777777" w:rsidR="00EE2AAE" w:rsidRDefault="00EE2A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747CD"/>
    <w:multiLevelType w:val="hybridMultilevel"/>
    <w:tmpl w:val="A518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592B8B"/>
    <w:multiLevelType w:val="hybridMultilevel"/>
    <w:tmpl w:val="7AD0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270514"/>
    <w:multiLevelType w:val="hybridMultilevel"/>
    <w:tmpl w:val="02A0FA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0F0"/>
    <w:rsid w:val="0000018A"/>
    <w:rsid w:val="00000252"/>
    <w:rsid w:val="00007769"/>
    <w:rsid w:val="00015998"/>
    <w:rsid w:val="0002724E"/>
    <w:rsid w:val="00051158"/>
    <w:rsid w:val="00086EA8"/>
    <w:rsid w:val="000917D4"/>
    <w:rsid w:val="0009523D"/>
    <w:rsid w:val="00097A4E"/>
    <w:rsid w:val="000B6D01"/>
    <w:rsid w:val="000D505F"/>
    <w:rsid w:val="000E7BED"/>
    <w:rsid w:val="0010180D"/>
    <w:rsid w:val="001063E6"/>
    <w:rsid w:val="001201BF"/>
    <w:rsid w:val="00127953"/>
    <w:rsid w:val="001341E4"/>
    <w:rsid w:val="00134F4F"/>
    <w:rsid w:val="001360CA"/>
    <w:rsid w:val="001513B0"/>
    <w:rsid w:val="001514C3"/>
    <w:rsid w:val="001675AD"/>
    <w:rsid w:val="0018053B"/>
    <w:rsid w:val="00191270"/>
    <w:rsid w:val="00194E04"/>
    <w:rsid w:val="0019592A"/>
    <w:rsid w:val="001A3C14"/>
    <w:rsid w:val="001A408C"/>
    <w:rsid w:val="001B0F54"/>
    <w:rsid w:val="001B2E18"/>
    <w:rsid w:val="001B7F23"/>
    <w:rsid w:val="001C3650"/>
    <w:rsid w:val="001C576C"/>
    <w:rsid w:val="001C63C1"/>
    <w:rsid w:val="001F2135"/>
    <w:rsid w:val="00216475"/>
    <w:rsid w:val="002165C8"/>
    <w:rsid w:val="00240FB4"/>
    <w:rsid w:val="00243D82"/>
    <w:rsid w:val="00257EAA"/>
    <w:rsid w:val="0026085F"/>
    <w:rsid w:val="002652EA"/>
    <w:rsid w:val="002705A9"/>
    <w:rsid w:val="002919FB"/>
    <w:rsid w:val="002A4E8B"/>
    <w:rsid w:val="002B2559"/>
    <w:rsid w:val="002B5BE8"/>
    <w:rsid w:val="002B6252"/>
    <w:rsid w:val="002C48A2"/>
    <w:rsid w:val="002C6B34"/>
    <w:rsid w:val="002E7356"/>
    <w:rsid w:val="002F5CDF"/>
    <w:rsid w:val="00303088"/>
    <w:rsid w:val="00304042"/>
    <w:rsid w:val="00312039"/>
    <w:rsid w:val="00323315"/>
    <w:rsid w:val="00323B40"/>
    <w:rsid w:val="00362404"/>
    <w:rsid w:val="00367548"/>
    <w:rsid w:val="003879D7"/>
    <w:rsid w:val="003A212C"/>
    <w:rsid w:val="003B0F11"/>
    <w:rsid w:val="003B29C4"/>
    <w:rsid w:val="003B3B47"/>
    <w:rsid w:val="003C0AEF"/>
    <w:rsid w:val="003C326E"/>
    <w:rsid w:val="003C60F0"/>
    <w:rsid w:val="003F4398"/>
    <w:rsid w:val="00412A19"/>
    <w:rsid w:val="00422C29"/>
    <w:rsid w:val="00424B26"/>
    <w:rsid w:val="0044436D"/>
    <w:rsid w:val="00446E67"/>
    <w:rsid w:val="00465554"/>
    <w:rsid w:val="0046769B"/>
    <w:rsid w:val="00487A1A"/>
    <w:rsid w:val="00493E75"/>
    <w:rsid w:val="00494587"/>
    <w:rsid w:val="00494A37"/>
    <w:rsid w:val="00497B42"/>
    <w:rsid w:val="004A2734"/>
    <w:rsid w:val="004A381A"/>
    <w:rsid w:val="004A772B"/>
    <w:rsid w:val="004B685C"/>
    <w:rsid w:val="004C2D49"/>
    <w:rsid w:val="004C3C96"/>
    <w:rsid w:val="004C561F"/>
    <w:rsid w:val="004E7C83"/>
    <w:rsid w:val="004F04BC"/>
    <w:rsid w:val="00503A24"/>
    <w:rsid w:val="00512565"/>
    <w:rsid w:val="005158D8"/>
    <w:rsid w:val="005337A0"/>
    <w:rsid w:val="005404DA"/>
    <w:rsid w:val="00541941"/>
    <w:rsid w:val="00556FD1"/>
    <w:rsid w:val="005626AF"/>
    <w:rsid w:val="005660EE"/>
    <w:rsid w:val="00572290"/>
    <w:rsid w:val="00576417"/>
    <w:rsid w:val="00580370"/>
    <w:rsid w:val="005804D6"/>
    <w:rsid w:val="00585C48"/>
    <w:rsid w:val="005A14C8"/>
    <w:rsid w:val="005B3A9E"/>
    <w:rsid w:val="005B6A41"/>
    <w:rsid w:val="005C7659"/>
    <w:rsid w:val="005F0372"/>
    <w:rsid w:val="005F1312"/>
    <w:rsid w:val="0061281E"/>
    <w:rsid w:val="00613650"/>
    <w:rsid w:val="00617293"/>
    <w:rsid w:val="00621F81"/>
    <w:rsid w:val="006330F9"/>
    <w:rsid w:val="006405DF"/>
    <w:rsid w:val="00642E41"/>
    <w:rsid w:val="006455E2"/>
    <w:rsid w:val="00653204"/>
    <w:rsid w:val="00653C6F"/>
    <w:rsid w:val="00657C50"/>
    <w:rsid w:val="006616BC"/>
    <w:rsid w:val="00697110"/>
    <w:rsid w:val="006A27D7"/>
    <w:rsid w:val="006B63E2"/>
    <w:rsid w:val="006C0900"/>
    <w:rsid w:val="006C64CB"/>
    <w:rsid w:val="006D21BF"/>
    <w:rsid w:val="006E02D2"/>
    <w:rsid w:val="006E0408"/>
    <w:rsid w:val="006E552E"/>
    <w:rsid w:val="006F242C"/>
    <w:rsid w:val="006F667C"/>
    <w:rsid w:val="007024AD"/>
    <w:rsid w:val="00713C0A"/>
    <w:rsid w:val="00716D75"/>
    <w:rsid w:val="0072008F"/>
    <w:rsid w:val="00726B6C"/>
    <w:rsid w:val="00737197"/>
    <w:rsid w:val="00742BE9"/>
    <w:rsid w:val="00751023"/>
    <w:rsid w:val="007708F6"/>
    <w:rsid w:val="00775508"/>
    <w:rsid w:val="00780968"/>
    <w:rsid w:val="00784E9B"/>
    <w:rsid w:val="00796864"/>
    <w:rsid w:val="007A6582"/>
    <w:rsid w:val="007B1582"/>
    <w:rsid w:val="007B7CD7"/>
    <w:rsid w:val="007D21C3"/>
    <w:rsid w:val="007E20AD"/>
    <w:rsid w:val="007E5E68"/>
    <w:rsid w:val="00807174"/>
    <w:rsid w:val="00811EAB"/>
    <w:rsid w:val="008209FE"/>
    <w:rsid w:val="00823E9E"/>
    <w:rsid w:val="008248BC"/>
    <w:rsid w:val="00844AD6"/>
    <w:rsid w:val="00865551"/>
    <w:rsid w:val="00870F23"/>
    <w:rsid w:val="00875612"/>
    <w:rsid w:val="00877144"/>
    <w:rsid w:val="008842A8"/>
    <w:rsid w:val="008A794E"/>
    <w:rsid w:val="008C4AE2"/>
    <w:rsid w:val="008C4EDC"/>
    <w:rsid w:val="008E1437"/>
    <w:rsid w:val="008E3157"/>
    <w:rsid w:val="008F0637"/>
    <w:rsid w:val="0092331B"/>
    <w:rsid w:val="009277C3"/>
    <w:rsid w:val="00927948"/>
    <w:rsid w:val="00932CE5"/>
    <w:rsid w:val="00932CEA"/>
    <w:rsid w:val="0094354B"/>
    <w:rsid w:val="00943BAF"/>
    <w:rsid w:val="0095290C"/>
    <w:rsid w:val="00953044"/>
    <w:rsid w:val="009552E0"/>
    <w:rsid w:val="00965D0C"/>
    <w:rsid w:val="009671D2"/>
    <w:rsid w:val="009737CD"/>
    <w:rsid w:val="0097578A"/>
    <w:rsid w:val="009816B7"/>
    <w:rsid w:val="00982560"/>
    <w:rsid w:val="00982D7F"/>
    <w:rsid w:val="00987EC3"/>
    <w:rsid w:val="009919C6"/>
    <w:rsid w:val="009A4680"/>
    <w:rsid w:val="009B069A"/>
    <w:rsid w:val="009B50E2"/>
    <w:rsid w:val="009C2554"/>
    <w:rsid w:val="009C2F00"/>
    <w:rsid w:val="009C667E"/>
    <w:rsid w:val="009D024D"/>
    <w:rsid w:val="009E1214"/>
    <w:rsid w:val="009E1960"/>
    <w:rsid w:val="009E1F6C"/>
    <w:rsid w:val="009F1363"/>
    <w:rsid w:val="00A04C6F"/>
    <w:rsid w:val="00A20958"/>
    <w:rsid w:val="00A310C2"/>
    <w:rsid w:val="00A511F0"/>
    <w:rsid w:val="00A52EB8"/>
    <w:rsid w:val="00A60333"/>
    <w:rsid w:val="00A607F9"/>
    <w:rsid w:val="00A735A7"/>
    <w:rsid w:val="00A7672A"/>
    <w:rsid w:val="00A90960"/>
    <w:rsid w:val="00AA319E"/>
    <w:rsid w:val="00AA5869"/>
    <w:rsid w:val="00AA6AF7"/>
    <w:rsid w:val="00AB1066"/>
    <w:rsid w:val="00AC50F9"/>
    <w:rsid w:val="00AD37FA"/>
    <w:rsid w:val="00AD38DC"/>
    <w:rsid w:val="00AD5575"/>
    <w:rsid w:val="00AE0C3A"/>
    <w:rsid w:val="00AE3EC5"/>
    <w:rsid w:val="00AE4F56"/>
    <w:rsid w:val="00AE575A"/>
    <w:rsid w:val="00B032F9"/>
    <w:rsid w:val="00B32B19"/>
    <w:rsid w:val="00B344DA"/>
    <w:rsid w:val="00B44155"/>
    <w:rsid w:val="00B45F11"/>
    <w:rsid w:val="00B503FC"/>
    <w:rsid w:val="00B5119F"/>
    <w:rsid w:val="00B55386"/>
    <w:rsid w:val="00B561EB"/>
    <w:rsid w:val="00B568BE"/>
    <w:rsid w:val="00B6601A"/>
    <w:rsid w:val="00B72D06"/>
    <w:rsid w:val="00B76AA2"/>
    <w:rsid w:val="00B8025D"/>
    <w:rsid w:val="00B81219"/>
    <w:rsid w:val="00B95332"/>
    <w:rsid w:val="00BA07FA"/>
    <w:rsid w:val="00BA4B30"/>
    <w:rsid w:val="00BA51DF"/>
    <w:rsid w:val="00BD5DA3"/>
    <w:rsid w:val="00C0308B"/>
    <w:rsid w:val="00C058C3"/>
    <w:rsid w:val="00C068E3"/>
    <w:rsid w:val="00C10567"/>
    <w:rsid w:val="00C1569C"/>
    <w:rsid w:val="00C31DA1"/>
    <w:rsid w:val="00C31E06"/>
    <w:rsid w:val="00C51181"/>
    <w:rsid w:val="00C5327D"/>
    <w:rsid w:val="00C64437"/>
    <w:rsid w:val="00C65618"/>
    <w:rsid w:val="00C66B74"/>
    <w:rsid w:val="00C704B0"/>
    <w:rsid w:val="00C77ED6"/>
    <w:rsid w:val="00C81194"/>
    <w:rsid w:val="00C901DC"/>
    <w:rsid w:val="00C903CA"/>
    <w:rsid w:val="00C933F7"/>
    <w:rsid w:val="00C974E5"/>
    <w:rsid w:val="00CA2846"/>
    <w:rsid w:val="00CA77C1"/>
    <w:rsid w:val="00CB5221"/>
    <w:rsid w:val="00CC14D9"/>
    <w:rsid w:val="00CD2392"/>
    <w:rsid w:val="00CD4D70"/>
    <w:rsid w:val="00CD4F30"/>
    <w:rsid w:val="00CF117B"/>
    <w:rsid w:val="00CF166E"/>
    <w:rsid w:val="00CF58F0"/>
    <w:rsid w:val="00D00CB5"/>
    <w:rsid w:val="00D10DAE"/>
    <w:rsid w:val="00D15683"/>
    <w:rsid w:val="00D30888"/>
    <w:rsid w:val="00D56B41"/>
    <w:rsid w:val="00D71FC2"/>
    <w:rsid w:val="00D7478C"/>
    <w:rsid w:val="00D75140"/>
    <w:rsid w:val="00D8021C"/>
    <w:rsid w:val="00D86865"/>
    <w:rsid w:val="00D86DF1"/>
    <w:rsid w:val="00D92E1C"/>
    <w:rsid w:val="00DA0320"/>
    <w:rsid w:val="00DA3E9B"/>
    <w:rsid w:val="00DA5599"/>
    <w:rsid w:val="00DA7BD4"/>
    <w:rsid w:val="00DC03DB"/>
    <w:rsid w:val="00DD5537"/>
    <w:rsid w:val="00DE16ED"/>
    <w:rsid w:val="00DF6EBD"/>
    <w:rsid w:val="00E0604D"/>
    <w:rsid w:val="00E07922"/>
    <w:rsid w:val="00E1040D"/>
    <w:rsid w:val="00E20CBC"/>
    <w:rsid w:val="00E3234B"/>
    <w:rsid w:val="00E32B4B"/>
    <w:rsid w:val="00E34FE7"/>
    <w:rsid w:val="00E40385"/>
    <w:rsid w:val="00E662A5"/>
    <w:rsid w:val="00E72C60"/>
    <w:rsid w:val="00E860C9"/>
    <w:rsid w:val="00E904AE"/>
    <w:rsid w:val="00E90522"/>
    <w:rsid w:val="00EA0D82"/>
    <w:rsid w:val="00EA5D34"/>
    <w:rsid w:val="00EA605A"/>
    <w:rsid w:val="00EA662E"/>
    <w:rsid w:val="00EA6A3D"/>
    <w:rsid w:val="00EB2D54"/>
    <w:rsid w:val="00EB5A5B"/>
    <w:rsid w:val="00EC3615"/>
    <w:rsid w:val="00ED619D"/>
    <w:rsid w:val="00EE2AAE"/>
    <w:rsid w:val="00EF3D67"/>
    <w:rsid w:val="00F0321A"/>
    <w:rsid w:val="00F145FC"/>
    <w:rsid w:val="00F2269B"/>
    <w:rsid w:val="00F23288"/>
    <w:rsid w:val="00F23AFA"/>
    <w:rsid w:val="00F35C52"/>
    <w:rsid w:val="00F4150E"/>
    <w:rsid w:val="00F66F3D"/>
    <w:rsid w:val="00F67400"/>
    <w:rsid w:val="00F7085B"/>
    <w:rsid w:val="00F777D3"/>
    <w:rsid w:val="00F8003C"/>
    <w:rsid w:val="00F86D29"/>
    <w:rsid w:val="00F91678"/>
    <w:rsid w:val="00F929BF"/>
    <w:rsid w:val="00FA21EF"/>
    <w:rsid w:val="00FA22E2"/>
    <w:rsid w:val="00FA24A2"/>
    <w:rsid w:val="00FA31E3"/>
    <w:rsid w:val="00FA48EC"/>
    <w:rsid w:val="00FB3C2B"/>
    <w:rsid w:val="00FC68EA"/>
    <w:rsid w:val="00FD271D"/>
    <w:rsid w:val="00FE0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C51F3"/>
  <w15:chartTrackingRefBased/>
  <w15:docId w15:val="{29647F1A-8075-4F28-B90E-204CC40B8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60F0"/>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3C60F0"/>
    <w:rPr>
      <w:rFonts w:asciiTheme="majorHAnsi" w:eastAsiaTheme="majorEastAsia" w:hAnsiTheme="majorHAnsi" w:cstheme="majorBidi"/>
      <w:color w:val="auto"/>
      <w:spacing w:val="-10"/>
      <w:kern w:val="28"/>
      <w:sz w:val="56"/>
      <w:szCs w:val="56"/>
    </w:rPr>
  </w:style>
  <w:style w:type="paragraph" w:styleId="EndnoteText">
    <w:name w:val="endnote text"/>
    <w:basedOn w:val="Normal"/>
    <w:link w:val="EndnoteTextChar"/>
    <w:uiPriority w:val="99"/>
    <w:semiHidden/>
    <w:unhideWhenUsed/>
    <w:rsid w:val="003C60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60F0"/>
    <w:rPr>
      <w:sz w:val="20"/>
      <w:szCs w:val="20"/>
    </w:rPr>
  </w:style>
  <w:style w:type="character" w:styleId="EndnoteReference">
    <w:name w:val="endnote reference"/>
    <w:basedOn w:val="DefaultParagraphFont"/>
    <w:uiPriority w:val="99"/>
    <w:semiHidden/>
    <w:unhideWhenUsed/>
    <w:rsid w:val="003C60F0"/>
    <w:rPr>
      <w:vertAlign w:val="superscript"/>
    </w:rPr>
  </w:style>
  <w:style w:type="paragraph" w:styleId="FootnoteText">
    <w:name w:val="footnote text"/>
    <w:basedOn w:val="Normal"/>
    <w:link w:val="FootnoteTextChar"/>
    <w:uiPriority w:val="99"/>
    <w:semiHidden/>
    <w:unhideWhenUsed/>
    <w:rsid w:val="003C60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60F0"/>
    <w:rPr>
      <w:sz w:val="20"/>
      <w:szCs w:val="20"/>
    </w:rPr>
  </w:style>
  <w:style w:type="character" w:styleId="FootnoteReference">
    <w:name w:val="footnote reference"/>
    <w:basedOn w:val="DefaultParagraphFont"/>
    <w:uiPriority w:val="99"/>
    <w:semiHidden/>
    <w:unhideWhenUsed/>
    <w:rsid w:val="003C60F0"/>
    <w:rPr>
      <w:vertAlign w:val="superscript"/>
    </w:rPr>
  </w:style>
  <w:style w:type="paragraph" w:styleId="ListParagraph">
    <w:name w:val="List Paragraph"/>
    <w:basedOn w:val="Normal"/>
    <w:uiPriority w:val="34"/>
    <w:qFormat/>
    <w:rsid w:val="00AD37FA"/>
    <w:pPr>
      <w:ind w:left="720"/>
      <w:contextualSpacing/>
    </w:pPr>
  </w:style>
  <w:style w:type="character" w:styleId="Hyperlink">
    <w:name w:val="Hyperlink"/>
    <w:basedOn w:val="DefaultParagraphFont"/>
    <w:uiPriority w:val="99"/>
    <w:unhideWhenUsed/>
    <w:rsid w:val="00FB3C2B"/>
    <w:rPr>
      <w:color w:val="0563C1" w:themeColor="hyperlink"/>
      <w:u w:val="single"/>
    </w:rPr>
  </w:style>
  <w:style w:type="character" w:styleId="UnresolvedMention">
    <w:name w:val="Unresolved Mention"/>
    <w:basedOn w:val="DefaultParagraphFont"/>
    <w:uiPriority w:val="99"/>
    <w:semiHidden/>
    <w:unhideWhenUsed/>
    <w:rsid w:val="00FB3C2B"/>
    <w:rPr>
      <w:color w:val="605E5C"/>
      <w:shd w:val="clear" w:color="auto" w:fill="E1DFDD"/>
    </w:rPr>
  </w:style>
  <w:style w:type="paragraph" w:styleId="Header">
    <w:name w:val="header"/>
    <w:basedOn w:val="Normal"/>
    <w:link w:val="HeaderChar"/>
    <w:uiPriority w:val="99"/>
    <w:unhideWhenUsed/>
    <w:rsid w:val="008E1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437"/>
  </w:style>
  <w:style w:type="paragraph" w:styleId="Footer">
    <w:name w:val="footer"/>
    <w:basedOn w:val="Normal"/>
    <w:link w:val="FooterChar"/>
    <w:uiPriority w:val="99"/>
    <w:unhideWhenUsed/>
    <w:rsid w:val="008E1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437"/>
  </w:style>
  <w:style w:type="paragraph" w:customStyle="1" w:styleId="paragraph">
    <w:name w:val="paragraph"/>
    <w:basedOn w:val="Normal"/>
    <w:rsid w:val="00F7085B"/>
    <w:pPr>
      <w:spacing w:before="100" w:beforeAutospacing="1" w:after="100" w:afterAutospacing="1" w:line="240" w:lineRule="auto"/>
    </w:pPr>
    <w:rPr>
      <w:rFonts w:ascii="Times New Roman" w:eastAsia="Times New Roman" w:hAnsi="Times New Roman" w:cs="Times New Roman"/>
      <w:color w:val="auto"/>
      <w:lang w:eastAsia="en-GB"/>
    </w:rPr>
  </w:style>
  <w:style w:type="character" w:customStyle="1" w:styleId="normaltextrun">
    <w:name w:val="normaltextrun"/>
    <w:basedOn w:val="DefaultParagraphFont"/>
    <w:rsid w:val="00F7085B"/>
  </w:style>
  <w:style w:type="character" w:customStyle="1" w:styleId="eop">
    <w:name w:val="eop"/>
    <w:basedOn w:val="DefaultParagraphFont"/>
    <w:rsid w:val="00F70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344056">
      <w:bodyDiv w:val="1"/>
      <w:marLeft w:val="0"/>
      <w:marRight w:val="0"/>
      <w:marTop w:val="0"/>
      <w:marBottom w:val="0"/>
      <w:divBdr>
        <w:top w:val="none" w:sz="0" w:space="0" w:color="auto"/>
        <w:left w:val="none" w:sz="0" w:space="0" w:color="auto"/>
        <w:bottom w:val="none" w:sz="0" w:space="0" w:color="auto"/>
        <w:right w:val="none" w:sz="0" w:space="0" w:color="auto"/>
      </w:divBdr>
    </w:div>
    <w:div w:id="2055153351">
      <w:bodyDiv w:val="1"/>
      <w:marLeft w:val="0"/>
      <w:marRight w:val="0"/>
      <w:marTop w:val="0"/>
      <w:marBottom w:val="0"/>
      <w:divBdr>
        <w:top w:val="none" w:sz="0" w:space="0" w:color="auto"/>
        <w:left w:val="none" w:sz="0" w:space="0" w:color="auto"/>
        <w:bottom w:val="none" w:sz="0" w:space="0" w:color="auto"/>
        <w:right w:val="none" w:sz="0" w:space="0" w:color="auto"/>
      </w:divBdr>
    </w:div>
    <w:div w:id="209139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s://assets.publishing.service.gov.uk/government/uploads/system/uploads/attachment_data/file/49779/sayce-report.pdf" TargetMode="External"/><Relationship Id="rId1" Type="http://schemas.openxmlformats.org/officeDocument/2006/relationships/hyperlink" Target="https://croner.co.uk/resources/recruitment/mythbuster-expensive-hire-disabled-worker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6B90E-BAD9-4967-8FD4-5198DE24C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1611</Words>
  <Characters>9186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Platts</dc:creator>
  <cp:keywords/>
  <dc:description/>
  <cp:lastModifiedBy>Karen Blanchford GDA</cp:lastModifiedBy>
  <cp:revision>2</cp:revision>
  <dcterms:created xsi:type="dcterms:W3CDTF">2020-07-11T16:50:00Z</dcterms:created>
  <dcterms:modified xsi:type="dcterms:W3CDTF">2020-07-11T16:50:00Z</dcterms:modified>
</cp:coreProperties>
</file>